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93" w:rsidRDefault="006D1035">
      <w:pPr>
        <w:pStyle w:val="Standard"/>
      </w:pPr>
      <w:r>
        <w:rPr>
          <w:rFonts w:ascii="Calibri" w:hAnsi="Calibri"/>
          <w:b/>
          <w:bCs/>
          <w:sz w:val="28"/>
          <w:szCs w:val="28"/>
        </w:rPr>
        <w:t>Reviewing a Learning Design</w:t>
      </w:r>
    </w:p>
    <w:p w:rsidR="00D60593" w:rsidRDefault="00D60593">
      <w:pPr>
        <w:pStyle w:val="Standard"/>
        <w:rPr>
          <w:rFonts w:ascii="Calibri" w:hAnsi="Calibri"/>
          <w:b/>
          <w:bCs/>
          <w:sz w:val="18"/>
          <w:szCs w:val="18"/>
        </w:rPr>
      </w:pPr>
    </w:p>
    <w:p w:rsidR="00D60593" w:rsidRDefault="006D1035" w:rsidP="00656747">
      <w:pPr>
        <w:pStyle w:val="Standard"/>
      </w:pPr>
      <w:r>
        <w:rPr>
          <w:rFonts w:ascii="Calibri" w:hAnsi="Calibri"/>
          <w:sz w:val="18"/>
          <w:szCs w:val="18"/>
        </w:rPr>
        <w:t xml:space="preserve">This sequence of questions is intended to assist in the review (or self-review) of a learning design produced using the </w:t>
      </w:r>
      <w:hyperlink r:id="rId7" w:history="1">
        <w:r w:rsidR="00656747" w:rsidRPr="00656747">
          <w:rPr>
            <w:rStyle w:val="Hyperlink"/>
            <w:rFonts w:ascii="Calibri" w:hAnsi="Calibri"/>
            <w:sz w:val="18"/>
            <w:szCs w:val="18"/>
          </w:rPr>
          <w:t>unit concept and assessment details template</w:t>
        </w:r>
      </w:hyperlink>
      <w:r w:rsidR="00656747">
        <w:rPr>
          <w:rFonts w:ascii="Calibri" w:hAnsi="Calibri"/>
          <w:sz w:val="18"/>
          <w:szCs w:val="18"/>
        </w:rPr>
        <w:t xml:space="preserve"> in parallel with the </w:t>
      </w:r>
      <w:hyperlink r:id="rId8" w:history="1">
        <w:r>
          <w:rPr>
            <w:rStyle w:val="Hyperlink"/>
            <w:rFonts w:ascii="Calibri" w:hAnsi="Calibri"/>
            <w:sz w:val="18"/>
            <w:szCs w:val="18"/>
          </w:rPr>
          <w:t>unit sequence template</w:t>
        </w:r>
      </w:hyperlink>
      <w:r>
        <w:rPr>
          <w:rFonts w:ascii="Calibri" w:hAnsi="Calibri"/>
          <w:sz w:val="18"/>
          <w:szCs w:val="18"/>
        </w:rPr>
        <w:t xml:space="preserve">.  </w:t>
      </w:r>
      <w:r>
        <w:rPr>
          <w:rFonts w:ascii="Calibri" w:hAnsi="Calibri"/>
          <w:sz w:val="18"/>
          <w:szCs w:val="18"/>
        </w:rPr>
        <w:t xml:space="preserve">  </w:t>
      </w:r>
    </w:p>
    <w:p w:rsidR="00D60593" w:rsidRDefault="00D60593">
      <w:pPr>
        <w:pStyle w:val="Standard"/>
        <w:rPr>
          <w:rFonts w:ascii="Calibri" w:hAnsi="Calibri"/>
          <w:sz w:val="18"/>
          <w:szCs w:val="18"/>
        </w:rPr>
      </w:pPr>
    </w:p>
    <w:p w:rsidR="00D60593" w:rsidRDefault="006D1035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Potential uses of this review tool may include:</w:t>
      </w:r>
    </w:p>
    <w:p w:rsidR="00D60593" w:rsidRDefault="00D60593">
      <w:pPr>
        <w:pStyle w:val="Standard"/>
        <w:rPr>
          <w:rFonts w:ascii="Calibri" w:hAnsi="Calibri"/>
          <w:sz w:val="18"/>
          <w:szCs w:val="18"/>
        </w:rPr>
      </w:pPr>
    </w:p>
    <w:p w:rsidR="00D60593" w:rsidRDefault="006D1035">
      <w:pPr>
        <w:pStyle w:val="Standard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unit c</w:t>
      </w:r>
      <w:r>
        <w:rPr>
          <w:rFonts w:ascii="Calibri" w:hAnsi="Calibri"/>
          <w:sz w:val="18"/>
          <w:szCs w:val="18"/>
        </w:rPr>
        <w:t>oordinator or teaching team reviewing a learning design they have recently prepared and/or in the process of updating</w:t>
      </w:r>
    </w:p>
    <w:p w:rsidR="00D60593" w:rsidRDefault="006D1035">
      <w:pPr>
        <w:pStyle w:val="Standard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Members of a faculty learning and teaching committee providing feedback on a new unit proposal which is accompanied by a learning design. </w:t>
      </w:r>
    </w:p>
    <w:p w:rsidR="00D60593" w:rsidRDefault="00D60593">
      <w:pPr>
        <w:pStyle w:val="Standard"/>
        <w:rPr>
          <w:rFonts w:ascii="Calibri" w:hAnsi="Calibri"/>
          <w:sz w:val="18"/>
          <w:szCs w:val="18"/>
        </w:rPr>
      </w:pPr>
    </w:p>
    <w:p w:rsidR="00656747" w:rsidRDefault="006D1035" w:rsidP="00656747">
      <w:pPr>
        <w:pStyle w:val="Standard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Please note: some of the questions contained in this template are also featured in the </w:t>
      </w:r>
      <w:hyperlink r:id="rId9" w:history="1">
        <w:r>
          <w:rPr>
            <w:rStyle w:val="Hyperlink"/>
            <w:rFonts w:ascii="Calibri" w:hAnsi="Calibri"/>
            <w:i/>
            <w:iCs/>
            <w:sz w:val="18"/>
            <w:szCs w:val="18"/>
          </w:rPr>
          <w:t>unit outline review template</w:t>
        </w:r>
      </w:hyperlink>
      <w:r>
        <w:rPr>
          <w:rFonts w:ascii="Calibri" w:hAnsi="Calibri"/>
          <w:i/>
          <w:iCs/>
          <w:sz w:val="18"/>
          <w:szCs w:val="18"/>
        </w:rPr>
        <w:t>.</w:t>
      </w:r>
    </w:p>
    <w:p w:rsidR="00656747" w:rsidRPr="00656747" w:rsidRDefault="00656747" w:rsidP="00656747">
      <w:pPr>
        <w:pStyle w:val="Standard"/>
        <w:rPr>
          <w:rFonts w:ascii="Calibri" w:hAnsi="Calibri"/>
          <w:i/>
          <w:iCs/>
          <w:sz w:val="18"/>
          <w:szCs w:val="18"/>
        </w:rPr>
      </w:pPr>
      <w:bookmarkStart w:id="0" w:name="_GoBack"/>
      <w:bookmarkEnd w:id="0"/>
    </w:p>
    <w:p w:rsidR="00D60593" w:rsidRDefault="00D60593">
      <w:pPr>
        <w:pStyle w:val="Standard"/>
        <w:rPr>
          <w:rFonts w:ascii="Calibri" w:hAnsi="Calibri"/>
          <w:sz w:val="18"/>
          <w:szCs w:val="18"/>
        </w:rPr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6"/>
        <w:gridCol w:w="850"/>
        <w:gridCol w:w="851"/>
        <w:gridCol w:w="850"/>
        <w:gridCol w:w="709"/>
      </w:tblGrid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Unit Description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the Unit Description succinctly describe the key knowledge and skills that students will be expected to acquire?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the Unit Description contain a statement briefly articulating the evolution of topics contained in the unit delivery schedule?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the Unit Description outline the main types of learning experiences that have been incorporated into the unit design?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the Unit Description describe how the unit prepares students for subsequent study and/or a vocational outcome?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If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Breadth Unit</w:t>
            </w:r>
            <w:r>
              <w:rPr>
                <w:rFonts w:ascii="Calibri" w:hAnsi="Calibri"/>
                <w:sz w:val="18"/>
                <w:szCs w:val="18"/>
              </w:rPr>
              <w:t xml:space="preserve"> - Does the Unit Description state the disciplinary lenses that inform the delivery and assessment of this unit?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a logical relationship between the intended learning outcomes and the course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learning outcome(s), where it possible to see how attainment of the intended learning outcomes is preparing students to achieve the relevant course learning outcome(s)?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the Intended Learning Outcomes assess the knowledge and skills outlined in the </w:t>
            </w:r>
            <w:r>
              <w:rPr>
                <w:rFonts w:ascii="Calibri" w:hAnsi="Calibri"/>
                <w:sz w:val="18"/>
                <w:szCs w:val="18"/>
              </w:rPr>
              <w:t>unit description?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there is a dependency between two or more intended learning outcomes, does the sequence reflect this hierarchy?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color w:val="212121"/>
                <w:sz w:val="18"/>
                <w:szCs w:val="18"/>
              </w:rPr>
            </w:pPr>
            <w:r>
              <w:rPr>
                <w:rFonts w:ascii="Calibri" w:hAnsi="Calibri"/>
                <w:color w:val="212121"/>
                <w:sz w:val="18"/>
                <w:szCs w:val="18"/>
              </w:rPr>
              <w:t>Is there a manageable number of intended learning outcomes, given that each intended learning outcome needs to be</w:t>
            </w:r>
            <w:r>
              <w:rPr>
                <w:rFonts w:ascii="Calibri" w:hAnsi="Calibri"/>
                <w:color w:val="212121"/>
                <w:sz w:val="18"/>
                <w:szCs w:val="18"/>
              </w:rPr>
              <w:t xml:space="preserve"> assessed twice?</w:t>
            </w:r>
          </w:p>
          <w:p w:rsidR="00D60593" w:rsidRDefault="006D1035">
            <w:pPr>
              <w:pStyle w:val="Standard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(i.e. 3-5 ILOs)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Is there a stem preceding the sequence of intended learning outcomes?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Stem example - O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 completion of this unit, you will need to be able to: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Does each ILO commence with an active verb that states the action which</w:t>
            </w:r>
            <w:r>
              <w:rPr>
                <w:rFonts w:ascii="Calibri" w:hAnsi="Calibri"/>
                <w:sz w:val="18"/>
                <w:szCs w:val="18"/>
              </w:rPr>
              <w:t xml:space="preserve"> students will be assessed against?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Active verb examples – 'apply', 'synthesise', 'present'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Note: Refer to a Blooms and/or SOLO taxonomy of active verbs for a comprehensive list of action verbs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</w:rPr>
              <w:t>Does each ILO contain a focus, whereby a process, product</w:t>
            </w:r>
            <w:r>
              <w:rPr>
                <w:rFonts w:ascii="Calibri" w:hAnsi="Calibri"/>
                <w:sz w:val="18"/>
                <w:szCs w:val="18"/>
              </w:rPr>
              <w:t xml:space="preserve"> and or outcome of the action is stated?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Process example – 'methods of passage planning'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lastRenderedPageBreak/>
              <w:t>Outcome example – 'limitations of electronic systems'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Product example – 'a passage plan'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Does each ILO outline a condition which provides scope to the process,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product or outcomes already stated within the learning outcome?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Examples: “appropriate for search and rescue operations”, “to ensure navigation safety”, “to implement Bridge Resource Management”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Have the intended learning outcomes been written using t</w:t>
            </w:r>
            <w:r>
              <w:rPr>
                <w:rFonts w:ascii="Calibri" w:hAnsi="Calibri"/>
                <w:sz w:val="18"/>
                <w:szCs w:val="18"/>
              </w:rPr>
              <w:t>he following structure:</w:t>
            </w:r>
          </w:p>
          <w:p w:rsidR="00D60593" w:rsidRDefault="006D1035">
            <w:pPr>
              <w:pStyle w:val="Standard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Learning Outcome = stem + active verb + focus + condition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Formal Assessment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 each of the assessment criteria (on the cover page of the learning design) describe a discrete characteristic of the work to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be assessed?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Is there an assortment of formal assessment tasks which are scheduled throughout the delivery period?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Are there at least two different methods of assessment being used?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For each assessment task, does the method of assessment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enable the assessment of the relevant intended learning outcome(s)?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EC5F66" w:rsidP="00EC5F66">
            <w:pPr>
              <w:pStyle w:val="Standard"/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Is there at least one </w:t>
            </w:r>
            <w:r w:rsidR="006D1035">
              <w:rPr>
                <w:rFonts w:ascii="Calibri" w:hAnsi="Calibri"/>
                <w:sz w:val="18"/>
                <w:szCs w:val="18"/>
                <w:lang w:eastAsia="en-US"/>
              </w:rPr>
              <w:t>opportunit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y </w:t>
            </w:r>
            <w:r w:rsidR="006D1035">
              <w:rPr>
                <w:rFonts w:ascii="Calibri" w:hAnsi="Calibri"/>
                <w:sz w:val="18"/>
                <w:szCs w:val="18"/>
                <w:lang w:eastAsia="en-US"/>
              </w:rPr>
              <w:t xml:space="preserve">for students to achieve each of the intended learning outcomes? </w:t>
            </w:r>
            <w:r w:rsidR="006D103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Note: multiple intended learning outcomes can be assessed with a single assessment </w:t>
            </w:r>
            <w:r w:rsidR="006D103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task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Does the assessment task method used to classify each assessment task, reflect a 'common' definition?</w:t>
            </w:r>
          </w:p>
          <w:p w:rsidR="00D60593" w:rsidRDefault="006D1035">
            <w:pPr>
              <w:pStyle w:val="Standard"/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en-US"/>
              </w:rPr>
              <w:t xml:space="preserve">See: page 99 of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en-US"/>
              </w:rPr>
              <w:br/>
            </w:r>
            <w:hyperlink r:id="rId10" w:history="1">
              <w:r>
                <w:rPr>
                  <w:rStyle w:val="Hyperlink"/>
                  <w:rFonts w:ascii="Calibri" w:hAnsi="Calibri"/>
                  <w:i/>
                  <w:iCs/>
                  <w:sz w:val="16"/>
                  <w:szCs w:val="16"/>
                  <w:lang w:eastAsia="en-US"/>
                </w:rPr>
                <w:t>https://w</w:t>
              </w:r>
              <w:r>
                <w:rPr>
                  <w:rStyle w:val="Hyperlink"/>
                  <w:rFonts w:ascii="Calibri" w:hAnsi="Calibri"/>
                  <w:i/>
                  <w:iCs/>
                  <w:sz w:val="16"/>
                  <w:szCs w:val="16"/>
                  <w:lang w:eastAsia="en-US"/>
                </w:rPr>
                <w:t>ww.itl.usyd.edu.au/projects/aaglo/pdf/SP10-1879_FINAL%20sydney%20barrie%20final%20report%20part%201.pdf</w:t>
              </w:r>
            </w:hyperlink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en-US"/>
              </w:rPr>
              <w:br/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en-US"/>
              </w:rPr>
              <w:t>for a detailed glossary of assessment task methods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Are there any professional accreditation requirements which specify required assessment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methods?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Does the weighting of each assessment task reflect the volume of work a student will (or is likely to be required to) perform?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Is the difficulty of the assessment tasks comparable to other units in the course at the same year level?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Does the task description (on the cover page of the learning design) provide the 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en-US"/>
              </w:rPr>
              <w:t>following:</w:t>
            </w:r>
            <w:proofErr w:type="gramEnd"/>
          </w:p>
          <w:p w:rsidR="00D60593" w:rsidRDefault="00D60593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60593" w:rsidRDefault="006D1035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The context and conditions of assessment - 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(i.e. material requirements, time restrictions)</w:t>
            </w:r>
          </w:p>
          <w:p w:rsidR="00D60593" w:rsidRDefault="006D1035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An overview of the actual task to be performed by the student</w:t>
            </w:r>
          </w:p>
          <w:p w:rsidR="00D60593" w:rsidRDefault="006D1035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Specifica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tions for the evidence that a student will submit</w:t>
            </w:r>
          </w:p>
          <w:p w:rsidR="00D60593" w:rsidRDefault="006D1035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Detail on where and how the student needs to submit evidence</w:t>
            </w:r>
          </w:p>
          <w:p w:rsidR="00D60593" w:rsidRDefault="006D1035">
            <w:pPr>
              <w:pStyle w:val="Standard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The grading scale which will be used to assess the evidence</w:t>
            </w:r>
          </w:p>
          <w:p w:rsidR="00D60593" w:rsidRDefault="006D1035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Detail on where students can access a rubric for each assessment task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Learning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Activities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Are the learning activities sequenced prior to the relevant assessment task, so that they prepare students to undertake the assessment?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Is there any tangible relationship between the assessment criteria (on the cover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page of the learning design) and the learning activities?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lastRenderedPageBreak/>
              <w:t>Feedback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39027C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9027C">
              <w:rPr>
                <w:rFonts w:ascii="Calibri" w:hAnsi="Calibri"/>
                <w:sz w:val="18"/>
                <w:szCs w:val="18"/>
                <w:lang w:eastAsia="en-US"/>
              </w:rPr>
              <w:t>Is there a diagnostic assessment task (or learning activity) which will enable a student to receive feedback on their level of preparedness and/or performance by week three?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39027C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7C" w:rsidRDefault="0039027C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Will students receive feedback on their performance in formal assessment tasks so that it can be used to inform their practice in subsequent assessment tasks?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7C" w:rsidRDefault="0039027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7C" w:rsidRDefault="0039027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7C" w:rsidRDefault="0039027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27C" w:rsidRDefault="0039027C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Is there at least one summative assessment task that is submitted, marked and returned to students by the midpoint of the unit?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 students receive feedback on their performance during or after undertaking learning activities? Note: Students may rec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eive this feedback from peers, teacher (individually, group, whole of class) or automated (e.g. quiz) or through self-review.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Are the methods and frequency of feedback to students sustainable in relation to the stated student cohort capacity?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Instruction and Topics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2D375F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5F" w:rsidRDefault="002D375F" w:rsidP="002D375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375F">
              <w:rPr>
                <w:rFonts w:ascii="Calibri" w:hAnsi="Calibri"/>
                <w:sz w:val="18"/>
                <w:szCs w:val="18"/>
                <w:lang w:eastAsia="en-US"/>
              </w:rPr>
              <w:t>Are students required to engage with contemporary and emerging scholarship in the relevant field(s) of study</w:t>
            </w:r>
            <w:r w:rsidRPr="002D375F">
              <w:rPr>
                <w:rFonts w:ascii="Calibri" w:hAnsi="Calibr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5F" w:rsidRDefault="002D375F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5F" w:rsidRDefault="002D375F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75F" w:rsidRDefault="002D375F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75F" w:rsidRDefault="002D375F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Are the methods of instruction appropriate in respect to the related learning activities and the stated student cohort capacity?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Is there a sufficient component of the unit instruction accessible for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students to access outside designated instruction periods?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Are each of the topics scheduled in a logical sequence which is reflected in the sequence of assessment tasks?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Blended Learning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Partially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N/A</w:t>
            </w: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Does the documented blend of on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campus and online components enable the target student cohort(s) to effectively participate in the unit?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01649B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49B" w:rsidRDefault="0001649B" w:rsidP="0001649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1649B">
              <w:rPr>
                <w:rFonts w:ascii="Calibri" w:hAnsi="Calibri"/>
                <w:sz w:val="18"/>
                <w:szCs w:val="18"/>
                <w:lang w:eastAsia="en-US"/>
              </w:rPr>
              <w:t>For units accepting distance enrolments - Does the assessment and learning design enable students enrolled as ‘distance’ to successfully complete all requirements of the unit?</w:t>
            </w:r>
            <w:r w:rsidRPr="0001649B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49B" w:rsidRDefault="000164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49B" w:rsidRDefault="000164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49B" w:rsidRDefault="000164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49B" w:rsidRDefault="0001649B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D60593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Are the selection of online tools appropriate in respect to the stated student cohort capacity?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593" w:rsidRDefault="00D60593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21B14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Pr="00D21B14" w:rsidRDefault="00D21B14">
            <w:pPr>
              <w:pStyle w:val="Standard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D21B14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Volume of Learning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21B14" w:rsidTr="00EA7669">
        <w:tblPrEx>
          <w:tblCellMar>
            <w:top w:w="0" w:type="dxa"/>
            <w:bottom w:w="0" w:type="dxa"/>
          </w:tblCellMar>
        </w:tblPrEx>
        <w:tc>
          <w:tcPr>
            <w:tcW w:w="1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Pr="00D21B14" w:rsidRDefault="00D21B14" w:rsidP="00D21B1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21B14">
              <w:rPr>
                <w:rFonts w:ascii="Calibri" w:hAnsi="Calibri"/>
                <w:sz w:val="18"/>
                <w:szCs w:val="18"/>
                <w:lang w:eastAsia="en-US"/>
              </w:rPr>
              <w:t xml:space="preserve">Does the current learning design enable a typical student to successfully complete the requirements of the unit through 120-150 hours of learning? </w:t>
            </w:r>
          </w:p>
          <w:p w:rsidR="00D21B14" w:rsidRPr="00D21B14" w:rsidRDefault="00D21B14" w:rsidP="00D21B14">
            <w:pPr>
              <w:rPr>
                <w:rFonts w:ascii="Calibri" w:hAnsi="Calibri"/>
                <w:i/>
                <w:iCs/>
                <w:sz w:val="16"/>
                <w:szCs w:val="16"/>
                <w:lang w:eastAsia="en-US"/>
              </w:rPr>
            </w:pPr>
            <w:r w:rsidRPr="00D21B14">
              <w:rPr>
                <w:rFonts w:ascii="Calibri" w:hAnsi="Calibri"/>
                <w:i/>
                <w:iCs/>
                <w:sz w:val="16"/>
                <w:szCs w:val="16"/>
                <w:lang w:eastAsia="en-US"/>
              </w:rPr>
              <w:t>Note: you can use the ‘Calculating Student Volume Template’ in conjunction with the ‘Unit sequence template’ to make this assessment</w:t>
            </w:r>
          </w:p>
          <w:p w:rsidR="00D21B14" w:rsidRPr="00D21B14" w:rsidRDefault="00D21B14">
            <w:pPr>
              <w:pStyle w:val="Standard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B14" w:rsidRDefault="00D21B14">
            <w:pPr>
              <w:pStyle w:val="TableContents"/>
              <w:rPr>
                <w:rFonts w:ascii="Calibri" w:hAnsi="Calibri"/>
                <w:color w:val="7F7F7F"/>
                <w:sz w:val="18"/>
                <w:szCs w:val="18"/>
              </w:rPr>
            </w:pPr>
          </w:p>
        </w:tc>
      </w:tr>
      <w:tr w:rsidR="00D60593" w:rsidTr="0001649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4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593" w:rsidRDefault="006D1035">
            <w:pPr>
              <w:pStyle w:val="TableContents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Comments</w:t>
            </w:r>
          </w:p>
          <w:p w:rsidR="00D60593" w:rsidRDefault="00D60593">
            <w:pPr>
              <w:pStyle w:val="TableContents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D60593" w:rsidRDefault="00D60593">
            <w:pPr>
              <w:pStyle w:val="TableContents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D60593" w:rsidRDefault="00D60593">
            <w:pPr>
              <w:pStyle w:val="TableContents"/>
              <w:rPr>
                <w:rFonts w:ascii="Calibri" w:hAnsi="Calibri"/>
                <w:b/>
                <w:bCs/>
                <w:color w:val="7F7F7F"/>
                <w:sz w:val="18"/>
                <w:szCs w:val="18"/>
              </w:rPr>
            </w:pPr>
          </w:p>
        </w:tc>
      </w:tr>
    </w:tbl>
    <w:p w:rsidR="00D60593" w:rsidRDefault="00D60593">
      <w:pPr>
        <w:pStyle w:val="Standard"/>
        <w:rPr>
          <w:rFonts w:ascii="Calibri" w:hAnsi="Calibri"/>
          <w:sz w:val="18"/>
          <w:szCs w:val="18"/>
        </w:rPr>
      </w:pPr>
    </w:p>
    <w:sectPr w:rsidR="00D60593" w:rsidSect="0001649B">
      <w:footerReference w:type="default" r:id="rId11"/>
      <w:pgSz w:w="16838" w:h="11906" w:orient="landscape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35" w:rsidRDefault="006D1035">
      <w:r>
        <w:separator/>
      </w:r>
    </w:p>
  </w:endnote>
  <w:endnote w:type="continuationSeparator" w:id="0">
    <w:p w:rsidR="006D1035" w:rsidRDefault="006D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435" w:type="dxa"/>
      <w:tblInd w:w="-7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5"/>
      <w:gridCol w:w="2580"/>
      <w:gridCol w:w="11310"/>
    </w:tblGrid>
    <w:tr w:rsidR="00084820">
      <w:tblPrEx>
        <w:tblCellMar>
          <w:top w:w="0" w:type="dxa"/>
          <w:bottom w:w="0" w:type="dxa"/>
        </w:tblCellMar>
      </w:tblPrEx>
      <w:trPr>
        <w:trHeight w:val="995"/>
      </w:trPr>
      <w:tc>
        <w:tcPr>
          <w:tcW w:w="35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4820" w:rsidRDefault="006D1035" w:rsidP="0001649B">
          <w:pPr>
            <w:ind w:left="601"/>
          </w:pPr>
          <w:r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br/>
          </w:r>
          <w:r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 xml:space="preserve">Version </w:t>
          </w:r>
          <w:r w:rsidR="0001649B"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>2</w:t>
          </w:r>
          <w:r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 xml:space="preserve"> </w:t>
          </w:r>
          <w:r w:rsidR="0001649B"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>–</w:t>
          </w:r>
          <w:r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 xml:space="preserve"> </w:t>
          </w:r>
          <w:r w:rsidR="0001649B"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 xml:space="preserve">September </w:t>
          </w:r>
          <w:r>
            <w:rPr>
              <w:rFonts w:ascii="Calibri" w:eastAsia="Times New Roman" w:hAnsi="Calibri"/>
              <w:b/>
              <w:color w:val="7F7F7F"/>
              <w:sz w:val="16"/>
              <w:szCs w:val="16"/>
              <w:lang w:bidi="th-TH"/>
            </w:rPr>
            <w:t>2016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t xml:space="preserve">Stephen Linquist and Rachael Phegan  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t>University of Tasmania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t xml:space="preserve"> </w:t>
          </w:r>
        </w:p>
      </w:tc>
      <w:tc>
        <w:tcPr>
          <w:tcW w:w="258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84820" w:rsidRDefault="006D1035">
          <w:pPr>
            <w:ind w:right="480"/>
          </w:pPr>
          <w:r>
            <w:br/>
          </w:r>
          <w:hyperlink r:id="rId1" w:history="1"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stephen.linquist@utas.edu.au</w:t>
            </w:r>
          </w:hyperlink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br/>
          </w:r>
          <w:hyperlink r:id="rId2" w:history="1"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rachael.phegan@utas.edu.au</w:t>
            </w:r>
          </w:hyperlink>
        </w:p>
      </w:tc>
      <w:tc>
        <w:tcPr>
          <w:tcW w:w="113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4820" w:rsidRDefault="006D1035">
          <w:pPr>
            <w:jc w:val="right"/>
            <w:rPr>
              <w:rFonts w:eastAsia="Times New Roman"/>
              <w:szCs w:val="28"/>
              <w:lang w:eastAsia="en-AU"/>
            </w:rPr>
          </w:pPr>
        </w:p>
        <w:p w:rsidR="00084820" w:rsidRDefault="006D1035">
          <w:r>
            <w:rPr>
              <w:rFonts w:eastAsia="Times New Roman"/>
              <w:szCs w:val="28"/>
              <w:lang w:eastAsia="en-AU"/>
            </w:rPr>
            <w:t xml:space="preserve"> </w:t>
          </w:r>
          <w:r>
            <w:rPr>
              <w:rFonts w:ascii="Calibri" w:eastAsia="Times New Roman" w:hAnsi="Calibri"/>
              <w:color w:val="7F7F7F"/>
              <w:sz w:val="16"/>
              <w:szCs w:val="16"/>
              <w:lang w:bidi="th-TH"/>
            </w:rPr>
            <w:t xml:space="preserve">This work is licensed under a </w:t>
          </w:r>
          <w:hyperlink r:id="rId3" w:history="1"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Cr</w:t>
            </w:r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eative Commons Attribution-</w:t>
            </w:r>
            <w:proofErr w:type="spellStart"/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>ShareAlike</w:t>
            </w:r>
            <w:proofErr w:type="spellEnd"/>
            <w:r>
              <w:rPr>
                <w:rStyle w:val="Hyperlink"/>
                <w:rFonts w:ascii="Calibri" w:eastAsia="Times New Roman" w:hAnsi="Calibri"/>
                <w:color w:val="7F7F7F"/>
                <w:sz w:val="16"/>
                <w:szCs w:val="16"/>
                <w:lang w:bidi="th-TH"/>
              </w:rPr>
              <w:t xml:space="preserve"> 4.0 International License</w:t>
            </w:r>
          </w:hyperlink>
          <w:r>
            <w:rPr>
              <w:rFonts w:ascii="Calibri" w:eastAsia="Times New Roman" w:hAnsi="Calibri"/>
              <w:sz w:val="16"/>
              <w:szCs w:val="16"/>
              <w:lang w:bidi="th-TH"/>
            </w:rPr>
            <w:t>.</w:t>
          </w:r>
        </w:p>
      </w:tc>
    </w:tr>
  </w:tbl>
  <w:p w:rsidR="00084820" w:rsidRDefault="006D1035">
    <w:pPr>
      <w:pStyle w:val="Footer"/>
    </w:pPr>
    <w:r>
      <w:rPr>
        <w:rFonts w:eastAsia="Times New Roman"/>
        <w:noProof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8347713</wp:posOffset>
          </wp:positionH>
          <wp:positionV relativeFrom="paragraph">
            <wp:posOffset>-613406</wp:posOffset>
          </wp:positionV>
          <wp:extent cx="837562" cy="297180"/>
          <wp:effectExtent l="0" t="0" r="638" b="762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2" cy="297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35" w:rsidRDefault="006D1035">
      <w:r>
        <w:rPr>
          <w:color w:val="000000"/>
        </w:rPr>
        <w:separator/>
      </w:r>
    </w:p>
  </w:footnote>
  <w:footnote w:type="continuationSeparator" w:id="0">
    <w:p w:rsidR="006D1035" w:rsidRDefault="006D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2BB"/>
    <w:multiLevelType w:val="multilevel"/>
    <w:tmpl w:val="BCACC2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36EB7"/>
    <w:multiLevelType w:val="multilevel"/>
    <w:tmpl w:val="5EEAA5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0593"/>
    <w:rsid w:val="0001649B"/>
    <w:rsid w:val="002D375F"/>
    <w:rsid w:val="0039027C"/>
    <w:rsid w:val="00656747"/>
    <w:rsid w:val="006D1035"/>
    <w:rsid w:val="00C364F1"/>
    <w:rsid w:val="00D21B14"/>
    <w:rsid w:val="00D60593"/>
    <w:rsid w:val="00EA7669"/>
    <w:rsid w:val="00E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4CDD"/>
  <w15:docId w15:val="{F6E10CBC-AF9E-48E7-8F48-C878137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utas.edu.au/lor/items/1f5c4a3d-74cc-4625-8c8d-96f99e0607eb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utas.edu.au/lor/items/5170ded9-a8ee-4708-9226-27eb37b90ddb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tl.usyd.edu.au/projects/aaglo/pdf/SP10-1879_FINAL%20sydney%20barrie%20final%20report%20part%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utas.edu.au/lor/items/373f370e-d76a-4846-bdfb-22480ce31aaa/1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hyperlink" Target="mailto:rachael.phegan@utas.edu.au" TargetMode="External"/><Relationship Id="rId1" Type="http://schemas.openxmlformats.org/officeDocument/2006/relationships/hyperlink" Target="mailto:stephen.linquist@utas.edu.a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linquist</dc:creator>
  <cp:lastModifiedBy>Stephen Linquist</cp:lastModifiedBy>
  <cp:revision>3</cp:revision>
  <cp:lastPrinted>2016-09-22T05:57:00Z</cp:lastPrinted>
  <dcterms:created xsi:type="dcterms:W3CDTF">2016-09-28T05:25:00Z</dcterms:created>
  <dcterms:modified xsi:type="dcterms:W3CDTF">2016-09-28T05:29:00Z</dcterms:modified>
</cp:coreProperties>
</file>