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0C" w:rsidRPr="00101EEC" w:rsidRDefault="003B6532" w:rsidP="00101EEC">
      <w:pPr>
        <w:pStyle w:val="Heading1"/>
        <w:rPr>
          <w:lang w:val="en-US"/>
        </w:rPr>
      </w:pPr>
      <w:r w:rsidRPr="00101EEC">
        <w:rPr>
          <w:lang w:val="en-US"/>
        </w:rPr>
        <w:t>Learning Design</w:t>
      </w:r>
      <w:r w:rsidR="00101EEC" w:rsidRPr="00101EEC">
        <w:rPr>
          <w:lang w:val="en-US"/>
        </w:rPr>
        <w:t xml:space="preserve"> – A necessary enabler for implementing curriculum renewal</w:t>
      </w:r>
    </w:p>
    <w:p w:rsidR="00101EEC" w:rsidRDefault="00101EEC" w:rsidP="00101EEC">
      <w:pPr>
        <w:rPr>
          <w:b/>
          <w:bCs/>
          <w:lang w:val="en-US"/>
        </w:rPr>
      </w:pPr>
    </w:p>
    <w:p w:rsidR="003D38F7" w:rsidRDefault="003D38F7" w:rsidP="003D38F7">
      <w:pPr>
        <w:pStyle w:val="Heading2"/>
        <w:rPr>
          <w:lang w:val="en-US"/>
        </w:rPr>
      </w:pPr>
      <w:r w:rsidRPr="00101EEC">
        <w:rPr>
          <w:lang w:val="en-US"/>
        </w:rPr>
        <w:t>What is learning design</w:t>
      </w:r>
    </w:p>
    <w:p w:rsidR="003D38F7" w:rsidRPr="00D9100A" w:rsidRDefault="003D38F7" w:rsidP="00C53DEA">
      <w:r>
        <w:rPr>
          <w:highlight w:val="yellow"/>
        </w:rPr>
        <w:br/>
      </w:r>
      <w:r w:rsidRPr="00D9100A">
        <w:t xml:space="preserve">The term learning design is commonly used to describe the endeavour of ‘educational notation’ </w:t>
      </w:r>
      <w:r w:rsidRPr="00C53DEA">
        <w:t>(</w:t>
      </w:r>
      <w:r w:rsidR="00C53DEA" w:rsidRPr="00C53DEA">
        <w:t>Larnacadeclaration.org, 2013</w:t>
      </w:r>
      <w:r w:rsidRPr="00C53DEA">
        <w:t>),</w:t>
      </w:r>
      <w:r w:rsidRPr="00D9100A">
        <w:t xml:space="preserve"> where a teacher/academic attempts to document their pedagogy in a visual format that can be easily shared and interpreted by colleagues.</w:t>
      </w:r>
    </w:p>
    <w:p w:rsidR="003D38F7" w:rsidRPr="00D9100A" w:rsidRDefault="003D38F7" w:rsidP="003D38F7">
      <w:r w:rsidRPr="00D9100A">
        <w:t xml:space="preserve">As an enabler for curriculum renewal at UTAS, we propose </w:t>
      </w:r>
      <w:r>
        <w:t xml:space="preserve">that </w:t>
      </w:r>
      <w:r w:rsidRPr="00D9100A">
        <w:t xml:space="preserve">this </w:t>
      </w:r>
      <w:r>
        <w:t xml:space="preserve">generalised description </w:t>
      </w:r>
      <w:r w:rsidRPr="00D9100A">
        <w:t xml:space="preserve">of ‘Learning design’ be </w:t>
      </w:r>
      <w:r>
        <w:t>re-</w:t>
      </w:r>
      <w:r w:rsidRPr="00D9100A">
        <w:t>conceptualised as:</w:t>
      </w:r>
    </w:p>
    <w:p w:rsidR="003D38F7" w:rsidRPr="00D9100A" w:rsidRDefault="003D38F7" w:rsidP="003D38F7">
      <w:pPr>
        <w:ind w:left="720"/>
        <w:rPr>
          <w:i/>
        </w:rPr>
      </w:pPr>
      <w:r w:rsidRPr="00D9100A">
        <w:rPr>
          <w:i/>
        </w:rPr>
        <w:t>A series of replicable processes for course and unit design that are underpinned by the use of design templates and review tools which:</w:t>
      </w:r>
    </w:p>
    <w:p w:rsidR="003D38F7" w:rsidRPr="00D9100A" w:rsidRDefault="003D38F7" w:rsidP="003D38F7">
      <w:pPr>
        <w:pStyle w:val="ListParagraph"/>
        <w:numPr>
          <w:ilvl w:val="0"/>
          <w:numId w:val="6"/>
        </w:numPr>
        <w:rPr>
          <w:i/>
        </w:rPr>
      </w:pPr>
      <w:r w:rsidRPr="00D9100A">
        <w:rPr>
          <w:i/>
        </w:rPr>
        <w:t>visually articulate the interrelationship between macro-level components of the curriculum and the intended sequences of assessment tasks, learning activities, feedback, instruction and topics</w:t>
      </w:r>
    </w:p>
    <w:p w:rsidR="003D38F7" w:rsidRDefault="003D38F7" w:rsidP="003D38F7">
      <w:pPr>
        <w:pStyle w:val="ListParagraph"/>
        <w:numPr>
          <w:ilvl w:val="0"/>
          <w:numId w:val="6"/>
        </w:numPr>
        <w:rPr>
          <w:i/>
        </w:rPr>
      </w:pPr>
      <w:r w:rsidRPr="00D9100A">
        <w:rPr>
          <w:i/>
        </w:rPr>
        <w:t>enable academics to transparently and sequentially apply principles of constructive alignment and criterion referenced assessment in the review</w:t>
      </w:r>
      <w:r>
        <w:rPr>
          <w:i/>
        </w:rPr>
        <w:t xml:space="preserve"> and design </w:t>
      </w:r>
      <w:r w:rsidRPr="00D9100A">
        <w:rPr>
          <w:i/>
        </w:rPr>
        <w:t>of curriculum</w:t>
      </w:r>
    </w:p>
    <w:p w:rsidR="003D38F7" w:rsidRPr="008C530F" w:rsidRDefault="003D38F7" w:rsidP="003D38F7">
      <w:pPr>
        <w:pStyle w:val="ListParagraph"/>
        <w:numPr>
          <w:ilvl w:val="0"/>
          <w:numId w:val="6"/>
        </w:numPr>
        <w:rPr>
          <w:i/>
        </w:rPr>
      </w:pPr>
      <w:r w:rsidRPr="00D9100A">
        <w:rPr>
          <w:i/>
        </w:rPr>
        <w:t>primarily support the active iterative process of designing learning</w:t>
      </w:r>
      <w:r w:rsidRPr="008C530F">
        <w:rPr>
          <w:i/>
        </w:rPr>
        <w:t xml:space="preserve"> (not retrospectively justifying the design)</w:t>
      </w:r>
      <w:r w:rsidR="00AB574F">
        <w:rPr>
          <w:i/>
        </w:rPr>
        <w:br/>
      </w:r>
    </w:p>
    <w:p w:rsidR="003D38F7" w:rsidRPr="00B776AE" w:rsidRDefault="003D38F7" w:rsidP="003D38F7">
      <w:pPr>
        <w:pStyle w:val="Heading2"/>
      </w:pPr>
      <w:r>
        <w:t>Princi</w:t>
      </w:r>
      <w:r w:rsidR="00B776AE">
        <w:t>ples informed curriculum design</w:t>
      </w:r>
    </w:p>
    <w:p w:rsidR="003D38F7" w:rsidRPr="00250D41" w:rsidRDefault="00B776AE" w:rsidP="00570F56">
      <w:r>
        <w:br/>
      </w:r>
      <w:r w:rsidR="00466B0C" w:rsidRPr="00AB574F">
        <w:t>This Curriculum White Paper is a call to enacting principles based curriculum renewal. In effect</w:t>
      </w:r>
      <w:r w:rsidR="00AB574F" w:rsidRPr="00AB574F">
        <w:t>,</w:t>
      </w:r>
      <w:r w:rsidR="00466B0C" w:rsidRPr="00AB574F">
        <w:t xml:space="preserve"> it is a call to course teaching teams to </w:t>
      </w:r>
      <w:r w:rsidR="00AB574F">
        <w:t xml:space="preserve">firstly </w:t>
      </w:r>
      <w:r w:rsidR="00466B0C" w:rsidRPr="00AB574F">
        <w:t xml:space="preserve">conceptualise a series of gradate personas that embody a series of principles encompassed within this white paper. </w:t>
      </w:r>
      <w:r w:rsidR="00AB574F">
        <w:t xml:space="preserve">Graduate personas are typically enacted via a series of course learning outcomes accompanied by a statement of curriculum philosophy. In order for these macro-level components of the curriculum to directly inform the unit level experiences of students, teaching teams will typically need to adopt a backwards design approach. One way in which this approach is enacted is through applying the principles of constructive alignment. </w:t>
      </w:r>
      <w:r w:rsidR="003D38F7" w:rsidRPr="00250D41">
        <w:fldChar w:fldCharType="begin"/>
      </w:r>
      <w:r w:rsidR="003D38F7" w:rsidRPr="00250D41">
        <w:instrText xml:space="preserve"> ADDIN EN.CITE &lt;EndNote&gt;&lt;Cite AuthorYear="1"&gt;&lt;Author&gt;Biggs&lt;/Author&gt;&lt;Year&gt;2014&lt;/Year&gt;&lt;RecNum&gt;1042&lt;/RecNum&gt;&lt;Pages&gt;5&lt;/Pages&gt;&lt;DisplayText&gt;Biggs (2014, p. 5)&lt;/DisplayText&gt;&lt;record&gt;&lt;rec-number&gt;1042&lt;/rec-number&gt;&lt;foreign-keys&gt;&lt;key app="EN" db-id="0wxs2xd212d0psepw9gvads82dzep92e5xwe"&gt;1042&lt;/key&gt;&lt;/foreign-keys&gt;&lt;ref-type name="Journal Article"&gt;17&lt;/ref-type&gt;&lt;contributors&gt;&lt;authors&gt;&lt;author&gt;Biggs, J.&lt;/author&gt;&lt;/authors&gt;&lt;/contributors&gt;&lt;titles&gt;&lt;title&gt;Constructive alignment in university teaching&lt;/title&gt;&lt;secondary-title&gt;HERDSA Review of Higher Education&lt;/secondary-title&gt;&lt;/titles&gt;&lt;periodical&gt;&lt;full-title&gt;HERDSA Review of Higher Education&lt;/full-title&gt;&lt;/periodical&gt;&lt;pages&gt;5-22&lt;/pages&gt;&lt;volume&gt;1&lt;/volume&gt;&lt;number&gt;1&lt;/number&gt;&lt;dates&gt;&lt;year&gt;2014&lt;/year&gt;&lt;/dates&gt;&lt;urls&gt;&lt;/urls&gt;&lt;/record&gt;&lt;/Cite&gt;&lt;/EndNote&gt;</w:instrText>
      </w:r>
      <w:r w:rsidR="003D38F7" w:rsidRPr="00250D41">
        <w:fldChar w:fldCharType="separate"/>
      </w:r>
      <w:hyperlink w:anchor="_ENREF_5" w:tooltip="Biggs, 2014 #1042" w:history="1">
        <w:r w:rsidR="003D38F7" w:rsidRPr="00250D41">
          <w:t>Biggs (2014, p. 5</w:t>
        </w:r>
      </w:hyperlink>
      <w:r w:rsidR="003D38F7" w:rsidRPr="00250D41">
        <w:t>)</w:t>
      </w:r>
      <w:r w:rsidR="003D38F7" w:rsidRPr="00250D41">
        <w:fldChar w:fldCharType="end"/>
      </w:r>
      <w:r w:rsidR="003D38F7" w:rsidRPr="00250D41">
        <w:t xml:space="preserve"> describ</w:t>
      </w:r>
      <w:r w:rsidR="003D38F7">
        <w:t>es constructive alignment as a:</w:t>
      </w:r>
    </w:p>
    <w:p w:rsidR="003D38F7" w:rsidRDefault="003D38F7" w:rsidP="003D38F7">
      <w:pPr>
        <w:ind w:left="720"/>
        <w:rPr>
          <w:i/>
        </w:rPr>
      </w:pPr>
      <w:r w:rsidRPr="00250D41">
        <w:rPr>
          <w:i/>
        </w:rPr>
        <w:t>Design for teaching in which what it is intended students should learn, and how they should express their learning, is clearly stated before teaching takes place. Teaching is then designed to engage students in learning activities that optimise their chances of achieving those outcomes, and assessment tasks are designed to enable clear judgments as to how well those outcomes have been attained.</w:t>
      </w:r>
    </w:p>
    <w:p w:rsidR="00F43ED4" w:rsidRDefault="00123B8F" w:rsidP="00B776AE">
      <w:pPr>
        <w:rPr>
          <w:iCs/>
        </w:rPr>
      </w:pPr>
      <w:r>
        <w:rPr>
          <w:iCs/>
        </w:rPr>
        <w:t xml:space="preserve">This concept is central to a principles informed curriculum renewal as it requires course and unit designers to consistently situate acts of instruction and facilitation as being informed by </w:t>
      </w:r>
      <w:r w:rsidR="005C49AD">
        <w:rPr>
          <w:iCs/>
        </w:rPr>
        <w:t xml:space="preserve">learning outcomes and </w:t>
      </w:r>
      <w:r>
        <w:rPr>
          <w:iCs/>
        </w:rPr>
        <w:t xml:space="preserve">assessment. </w:t>
      </w:r>
      <w:r w:rsidR="00F43ED4">
        <w:rPr>
          <w:iCs/>
        </w:rPr>
        <w:t>This student</w:t>
      </w:r>
      <w:r>
        <w:rPr>
          <w:iCs/>
        </w:rPr>
        <w:t xml:space="preserve"> centred </w:t>
      </w:r>
      <w:r w:rsidR="00B74136">
        <w:rPr>
          <w:iCs/>
        </w:rPr>
        <w:t xml:space="preserve">principle of </w:t>
      </w:r>
      <w:r>
        <w:rPr>
          <w:iCs/>
        </w:rPr>
        <w:t xml:space="preserve">backwards curriculum design </w:t>
      </w:r>
      <w:r w:rsidR="00F43ED4">
        <w:rPr>
          <w:iCs/>
        </w:rPr>
        <w:t>is</w:t>
      </w:r>
      <w:r w:rsidR="00B74136">
        <w:rPr>
          <w:iCs/>
        </w:rPr>
        <w:t xml:space="preserve"> not new and </w:t>
      </w:r>
      <w:r w:rsidR="00F43ED4">
        <w:rPr>
          <w:iCs/>
        </w:rPr>
        <w:t xml:space="preserve">is </w:t>
      </w:r>
      <w:r w:rsidR="00B74136">
        <w:rPr>
          <w:iCs/>
        </w:rPr>
        <w:t xml:space="preserve">visible in a range of educational discourse </w:t>
      </w:r>
      <w:r w:rsidR="00B776AE">
        <w:rPr>
          <w:iCs/>
        </w:rPr>
        <w:t>that pre-date</w:t>
      </w:r>
      <w:r w:rsidR="00B74136">
        <w:rPr>
          <w:iCs/>
        </w:rPr>
        <w:t xml:space="preserve"> </w:t>
      </w:r>
      <w:r w:rsidR="00B776AE">
        <w:rPr>
          <w:iCs/>
        </w:rPr>
        <w:t xml:space="preserve">the </w:t>
      </w:r>
      <w:r w:rsidR="00B74136">
        <w:rPr>
          <w:iCs/>
        </w:rPr>
        <w:t>term</w:t>
      </w:r>
      <w:r>
        <w:rPr>
          <w:iCs/>
        </w:rPr>
        <w:t xml:space="preserve"> ‘constructive alignment’</w:t>
      </w:r>
      <w:r w:rsidR="00B74136">
        <w:rPr>
          <w:iCs/>
        </w:rPr>
        <w:t xml:space="preserve"> being popularised</w:t>
      </w:r>
      <w:r w:rsidR="00DA0FB3">
        <w:rPr>
          <w:iCs/>
        </w:rPr>
        <w:t xml:space="preserve"> in studies of higher education </w:t>
      </w:r>
      <w:r w:rsidR="00F43ED4">
        <w:rPr>
          <w:iCs/>
        </w:rPr>
        <w:t xml:space="preserve">related </w:t>
      </w:r>
      <w:r w:rsidR="00DA0FB3">
        <w:rPr>
          <w:iCs/>
        </w:rPr>
        <w:t>literature</w:t>
      </w:r>
      <w:r w:rsidR="005C49AD">
        <w:rPr>
          <w:iCs/>
        </w:rPr>
        <w:t xml:space="preserve">. Consequently, there has been a </w:t>
      </w:r>
      <w:r w:rsidR="00DD0580">
        <w:rPr>
          <w:iCs/>
        </w:rPr>
        <w:t xml:space="preserve">variety of </w:t>
      </w:r>
      <w:r w:rsidR="005C49AD">
        <w:rPr>
          <w:iCs/>
        </w:rPr>
        <w:t>concerted effort</w:t>
      </w:r>
      <w:r w:rsidR="00DD0580">
        <w:rPr>
          <w:iCs/>
        </w:rPr>
        <w:t>s</w:t>
      </w:r>
      <w:r w:rsidR="005C49AD">
        <w:rPr>
          <w:iCs/>
        </w:rPr>
        <w:t xml:space="preserve"> </w:t>
      </w:r>
      <w:r w:rsidR="00F43ED4">
        <w:rPr>
          <w:iCs/>
        </w:rPr>
        <w:t xml:space="preserve">at UTAS </w:t>
      </w:r>
      <w:r w:rsidR="005C49AD">
        <w:rPr>
          <w:iCs/>
        </w:rPr>
        <w:t>to engender constructive alignment</w:t>
      </w:r>
      <w:r w:rsidR="00DD0580">
        <w:rPr>
          <w:iCs/>
        </w:rPr>
        <w:t xml:space="preserve"> informed practice </w:t>
      </w:r>
      <w:r w:rsidR="005C49AD">
        <w:rPr>
          <w:iCs/>
        </w:rPr>
        <w:t xml:space="preserve">in </w:t>
      </w:r>
      <w:r w:rsidR="00DD0580">
        <w:rPr>
          <w:iCs/>
        </w:rPr>
        <w:t xml:space="preserve">various </w:t>
      </w:r>
      <w:r w:rsidR="005C49AD">
        <w:rPr>
          <w:iCs/>
        </w:rPr>
        <w:t xml:space="preserve">professional development activities and award units of study. </w:t>
      </w:r>
      <w:r>
        <w:rPr>
          <w:iCs/>
        </w:rPr>
        <w:t xml:space="preserve">However, </w:t>
      </w:r>
      <w:r w:rsidR="005C49AD">
        <w:rPr>
          <w:iCs/>
        </w:rPr>
        <w:t>d</w:t>
      </w:r>
      <w:r w:rsidR="00B74136">
        <w:rPr>
          <w:iCs/>
        </w:rPr>
        <w:t xml:space="preserve">espite </w:t>
      </w:r>
      <w:r w:rsidR="005C49AD">
        <w:rPr>
          <w:iCs/>
        </w:rPr>
        <w:t xml:space="preserve">these efforts and the </w:t>
      </w:r>
      <w:r w:rsidR="00B74136">
        <w:rPr>
          <w:iCs/>
        </w:rPr>
        <w:t xml:space="preserve">dominant status </w:t>
      </w:r>
      <w:r w:rsidR="005C49AD">
        <w:rPr>
          <w:iCs/>
        </w:rPr>
        <w:t xml:space="preserve">of constructive alignment </w:t>
      </w:r>
      <w:r w:rsidR="00B74136">
        <w:rPr>
          <w:iCs/>
        </w:rPr>
        <w:t xml:space="preserve">in higher education literature, it is contentious to suggest that </w:t>
      </w:r>
      <w:r w:rsidR="009D0B4C">
        <w:rPr>
          <w:iCs/>
        </w:rPr>
        <w:t>normalised</w:t>
      </w:r>
      <w:r w:rsidR="00B74136">
        <w:rPr>
          <w:iCs/>
        </w:rPr>
        <w:t xml:space="preserve"> curriculum design practice </w:t>
      </w:r>
      <w:r w:rsidR="005C49AD">
        <w:rPr>
          <w:iCs/>
        </w:rPr>
        <w:t xml:space="preserve">at UTAS </w:t>
      </w:r>
      <w:r w:rsidR="00B74136">
        <w:rPr>
          <w:iCs/>
        </w:rPr>
        <w:t xml:space="preserve">is a unilateral reflection of the backwards design, learning outcome informed </w:t>
      </w:r>
      <w:r w:rsidR="009D0B4C">
        <w:rPr>
          <w:iCs/>
        </w:rPr>
        <w:t xml:space="preserve">mantra of constructive alignment.  </w:t>
      </w:r>
    </w:p>
    <w:p w:rsidR="003D38F7" w:rsidRPr="00F43ED4" w:rsidRDefault="00F43ED4" w:rsidP="00B776AE">
      <w:pPr>
        <w:rPr>
          <w:iCs/>
        </w:rPr>
      </w:pPr>
      <w:r>
        <w:rPr>
          <w:iCs/>
        </w:rPr>
        <w:t>The provision of replicable course and unit level learning design processes which model</w:t>
      </w:r>
      <w:r w:rsidR="00B776AE">
        <w:rPr>
          <w:iCs/>
        </w:rPr>
        <w:t xml:space="preserve"> </w:t>
      </w:r>
      <w:r>
        <w:rPr>
          <w:iCs/>
        </w:rPr>
        <w:t>constructive alignment can serve as an enabler for implementing p</w:t>
      </w:r>
      <w:r w:rsidR="005C49AD">
        <w:rPr>
          <w:iCs/>
        </w:rPr>
        <w:t>rinciples informed curricul</w:t>
      </w:r>
      <w:r>
        <w:rPr>
          <w:iCs/>
        </w:rPr>
        <w:t xml:space="preserve">um renewal. </w:t>
      </w:r>
      <w:r w:rsidR="00DD0580">
        <w:rPr>
          <w:iCs/>
        </w:rPr>
        <w:t xml:space="preserve">These </w:t>
      </w:r>
      <w:r>
        <w:rPr>
          <w:iCs/>
        </w:rPr>
        <w:t xml:space="preserve">processes </w:t>
      </w:r>
      <w:r w:rsidR="00DD0580">
        <w:rPr>
          <w:iCs/>
        </w:rPr>
        <w:t>would l</w:t>
      </w:r>
      <w:r w:rsidR="005C49AD">
        <w:rPr>
          <w:iCs/>
        </w:rPr>
        <w:t>everag</w:t>
      </w:r>
      <w:r w:rsidR="00DD0580">
        <w:rPr>
          <w:iCs/>
        </w:rPr>
        <w:t xml:space="preserve">e </w:t>
      </w:r>
      <w:r w:rsidR="005C49AD">
        <w:rPr>
          <w:iCs/>
        </w:rPr>
        <w:t>existing profe</w:t>
      </w:r>
      <w:r w:rsidR="00DD0580">
        <w:rPr>
          <w:iCs/>
        </w:rPr>
        <w:t xml:space="preserve">ssional development endeavours related to backwards design/constructive alignment through specifically supporting academics to visually develop and articulate how the respective components of curriculum function as a system of co-dependent relationships. </w:t>
      </w:r>
    </w:p>
    <w:p w:rsidR="00A32A2C" w:rsidRPr="00B776AE" w:rsidRDefault="006D4267" w:rsidP="006D4267">
      <w:pPr>
        <w:pStyle w:val="Heading2"/>
      </w:pPr>
      <w:r>
        <w:t xml:space="preserve">The historical conditions that necessitate learning design </w:t>
      </w:r>
      <w:r w:rsidR="00B776AE">
        <w:br/>
      </w:r>
    </w:p>
    <w:p w:rsidR="009B0634" w:rsidRPr="00250D41" w:rsidRDefault="00B54861" w:rsidP="00B54861">
      <w:r w:rsidRPr="00250D41">
        <w:t xml:space="preserve">The re-design/renewal of existing curriculum can be described as a design challenge, in particular when design is described as an activity primarily concerned with ‘finding workable compromises’ and with ‘resolving tensions’ </w:t>
      </w:r>
      <w:r w:rsidRPr="00250D41">
        <w:fldChar w:fldCharType="begin">
          <w:fldData xml:space="preserve">PEVuZE5vdGU+PENpdGU+PEF1dGhvcj5LYWxpPC9BdXRob3I+PFllYXI+MjAxMTwvWWVhcj48UmVj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</w:fldData>
        </w:fldChar>
      </w:r>
      <w:r w:rsidRPr="00250D41">
        <w:instrText xml:space="preserve"> ADDIN EN.CITE </w:instrText>
      </w:r>
      <w:r w:rsidRPr="00250D41">
        <w:fldChar w:fldCharType="begin">
          <w:fldData xml:space="preserve">PEVuZE5vdGU+PENpdGU+PEF1dGhvcj5LYWxpPC9BdXRob3I+PFllYXI+MjAxMTwvWWVhcj48UmVj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</w:fldData>
        </w:fldChar>
      </w:r>
      <w:r w:rsidRPr="00250D41">
        <w:instrText xml:space="preserve"> ADDIN EN.CITE.DATA </w:instrText>
      </w:r>
      <w:r w:rsidRPr="00250D41">
        <w:fldChar w:fldCharType="end"/>
      </w:r>
      <w:r w:rsidRPr="00250D41">
        <w:fldChar w:fldCharType="separate"/>
      </w:r>
      <w:r w:rsidRPr="00250D41">
        <w:t>(</w:t>
      </w:r>
      <w:hyperlink w:anchor="_ENREF_13" w:tooltip="Collins, 1996 #1075" w:history="1">
        <w:r w:rsidRPr="00250D41">
          <w:t>Collins, 1996</w:t>
        </w:r>
      </w:hyperlink>
      <w:r w:rsidRPr="00250D41">
        <w:t xml:space="preserve">; </w:t>
      </w:r>
      <w:hyperlink w:anchor="_ENREF_28" w:tooltip="Kali, 2011 #1069" w:history="1">
        <w:r w:rsidRPr="00250D41">
          <w:t>Kali et al., 2011</w:t>
        </w:r>
      </w:hyperlink>
      <w:r w:rsidRPr="00250D41">
        <w:t>)</w:t>
      </w:r>
      <w:r w:rsidRPr="00250D41">
        <w:fldChar w:fldCharType="end"/>
      </w:r>
      <w:r w:rsidRPr="00250D41">
        <w:t xml:space="preserve">. </w:t>
      </w:r>
      <w:r>
        <w:t xml:space="preserve"> </w:t>
      </w:r>
      <w:r w:rsidR="00FD1C53">
        <w:t xml:space="preserve">One of the conditions which </w:t>
      </w:r>
      <w:r w:rsidR="00D64374">
        <w:t xml:space="preserve">typically shape </w:t>
      </w:r>
      <w:r>
        <w:t xml:space="preserve">this </w:t>
      </w:r>
      <w:r w:rsidR="00FD1C53">
        <w:t xml:space="preserve">view that curriculum renewal is complex and challenging, is a </w:t>
      </w:r>
      <w:r w:rsidR="009B0634" w:rsidRPr="00250D41">
        <w:t xml:space="preserve">higher education context where academics often view themselves as scholars of their discipline more strongly than as teachers </w:t>
      </w:r>
      <w:r w:rsidR="009B0634" w:rsidRPr="00250D41">
        <w:fldChar w:fldCharType="begin"/>
      </w:r>
      <w:r w:rsidR="009B0634" w:rsidRPr="00250D41">
        <w:instrText xml:space="preserve"> ADDIN EN.CITE &lt;EndNote&gt;&lt;Cite&gt;&lt;Author&gt;Kember&lt;/Author&gt;&lt;Year&gt;1997&lt;/Year&gt;&lt;RecNum&gt;1076&lt;/RecNum&gt;&lt;DisplayText&gt;(Kember, 1997)&lt;/DisplayText&gt;&lt;record&gt;&lt;rec-number&gt;1076&lt;/rec-number&gt;&lt;foreign-keys&gt;&lt;key app="EN" db-id="0wxs2xd212d0psepw9gvads82dzep92e5xwe"&gt;1076&lt;/key&gt;&lt;/foreign-keys&gt;&lt;ref-type name="Journal Article"&gt;17&lt;/ref-type&gt;&lt;contributors&gt;&lt;authors&gt;&lt;author&gt;Kember, David&lt;/author&gt;&lt;/authors&gt;&lt;/contributors&gt;&lt;titles&gt;&lt;title&gt;A reconceptualisation of the research into university academics&amp;apos; conceptions of teaching&lt;/title&gt;&lt;secondary-title&gt;Learning and Instruction&lt;/secondary-title&gt;&lt;/titles&gt;&lt;periodical&gt;&lt;full-title&gt;Learning and Instruction&lt;/full-title&gt;&lt;/periodical&gt;&lt;pages&gt;255-275&lt;/pages&gt;&lt;volume&gt;7&lt;/volume&gt;&lt;number&gt;3&lt;/number&gt;&lt;dates&gt;&lt;year&gt;1997&lt;/year&gt;&lt;/dates&gt;&lt;isbn&gt;0959-4752&lt;/isbn&gt;&lt;urls&gt;&lt;related-urls&gt;&lt;url&gt;http://www.sciencedirect.com/science/article/pii/S095947529600028X&lt;/url&gt;&lt;/related-urls&gt;&lt;/urls&gt;&lt;electronic-resource-num&gt;http://dx.doi.org/10.1016/S0959-4752(96)00028-X&lt;/electronic-resource-num&gt;&lt;/record&gt;&lt;/Cite&gt;&lt;/EndNote&gt;</w:instrText>
      </w:r>
      <w:r w:rsidR="009B0634" w:rsidRPr="00250D41">
        <w:fldChar w:fldCharType="separate"/>
      </w:r>
      <w:r w:rsidR="009B0634" w:rsidRPr="00250D41">
        <w:t>(</w:t>
      </w:r>
      <w:hyperlink w:anchor="_ENREF_29" w:tooltip="Kember, 1997 #1076" w:history="1">
        <w:r w:rsidR="009B0634" w:rsidRPr="00250D41">
          <w:t>Kember, 1997</w:t>
        </w:r>
      </w:hyperlink>
      <w:r w:rsidR="009B0634" w:rsidRPr="00250D41">
        <w:t>)</w:t>
      </w:r>
      <w:r w:rsidR="009B0634" w:rsidRPr="00250D41">
        <w:fldChar w:fldCharType="end"/>
      </w:r>
      <w:r w:rsidR="00FD1C53">
        <w:t>. T</w:t>
      </w:r>
      <w:r w:rsidR="009B0634" w:rsidRPr="00250D41">
        <w:t xml:space="preserve">here is often contrast between academics conceptions of teaching and aspects of their actual practice </w:t>
      </w:r>
      <w:r w:rsidR="009B0634" w:rsidRPr="00250D41">
        <w:fldChar w:fldCharType="begin">
          <w:fldData xml:space="preserve">PEVuZE5vdGU+PENpdGU+PEF1dGhvcj5LYWxpPC9BdXRob3I+PFllYXI+MjAxMTwvWWVhcj48UmVj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</w:fldData>
        </w:fldChar>
      </w:r>
      <w:r w:rsidR="009B0634" w:rsidRPr="00250D41">
        <w:instrText xml:space="preserve"> ADDIN EN.CITE </w:instrText>
      </w:r>
      <w:r w:rsidR="009B0634" w:rsidRPr="00250D41">
        <w:fldChar w:fldCharType="begin">
          <w:fldData xml:space="preserve">PEVuZE5vdGU+PENpdGU+PEF1dGhvcj5LYWxpPC9BdXRob3I+PFllYXI+MjAxMTwvWWVhcj48UmVj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</w:fldData>
        </w:fldChar>
      </w:r>
      <w:r w:rsidR="009B0634" w:rsidRPr="00250D41">
        <w:instrText xml:space="preserve"> ADDIN EN.CITE.DATA </w:instrText>
      </w:r>
      <w:r w:rsidR="009B0634" w:rsidRPr="00250D41">
        <w:fldChar w:fldCharType="end"/>
      </w:r>
      <w:r w:rsidR="009B0634" w:rsidRPr="00250D41">
        <w:fldChar w:fldCharType="separate"/>
      </w:r>
      <w:r w:rsidR="009B0634" w:rsidRPr="00250D41">
        <w:rPr>
          <w:noProof/>
        </w:rPr>
        <w:t>(</w:t>
      </w:r>
      <w:hyperlink w:anchor="_ENREF_20" w:tooltip="Eley, 2006 #1074" w:history="1">
        <w:r w:rsidR="009B0634" w:rsidRPr="00250D41">
          <w:rPr>
            <w:noProof/>
          </w:rPr>
          <w:t>Eley, 2006</w:t>
        </w:r>
      </w:hyperlink>
      <w:r w:rsidR="009B0634" w:rsidRPr="00250D41">
        <w:rPr>
          <w:noProof/>
        </w:rPr>
        <w:t xml:space="preserve">; </w:t>
      </w:r>
      <w:hyperlink w:anchor="_ENREF_28" w:tooltip="Kali, 2011 #1069" w:history="1">
        <w:r w:rsidR="009B0634" w:rsidRPr="00250D41">
          <w:rPr>
            <w:noProof/>
          </w:rPr>
          <w:t>Kali, Goodyear, &amp; Markauskaite, 2011</w:t>
        </w:r>
      </w:hyperlink>
      <w:r w:rsidR="009B0634" w:rsidRPr="00250D41">
        <w:rPr>
          <w:noProof/>
        </w:rPr>
        <w:t>)</w:t>
      </w:r>
      <w:r w:rsidR="009B0634" w:rsidRPr="00250D41">
        <w:fldChar w:fldCharType="end"/>
      </w:r>
      <w:r w:rsidR="009B0634" w:rsidRPr="00250D41">
        <w:t xml:space="preserve">. In </w:t>
      </w:r>
      <w:r w:rsidR="009B0634">
        <w:t xml:space="preserve">parallel, academics </w:t>
      </w:r>
      <w:r w:rsidR="009B0634" w:rsidRPr="00250D41">
        <w:t xml:space="preserve">enjoy a significant level of autonomy to select teaching methods </w:t>
      </w:r>
      <w:r w:rsidR="009B0634" w:rsidRPr="00250D41">
        <w:fldChar w:fldCharType="begin"/>
      </w:r>
      <w:r w:rsidR="009B0634" w:rsidRPr="00250D41">
        <w:instrText xml:space="preserve"> ADDIN EN.CITE &lt;EndNote&gt;&lt;Cite&gt;&lt;Author&gt;Bennett&lt;/Author&gt;&lt;Year&gt;2011&lt;/Year&gt;&lt;RecNum&gt;1067&lt;/RecNum&gt;&lt;DisplayText&gt;(Bennett et al., 2011)&lt;/DisplayText&gt;&lt;record&gt;&lt;rec-number&gt;1067&lt;/rec-number&gt;&lt;foreign-keys&gt;&lt;key app="EN" db-id="0wxs2xd212d0psepw9gvads82dzep92e5xwe"&gt;1067&lt;/key&gt;&lt;/foreign-keys&gt;&lt;ref-type name="Journal Article"&gt;17&lt;/ref-type&gt;&lt;contributors&gt;&lt;authors&gt;&lt;author&gt;Bennett, Sue&lt;/author&gt;&lt;author&gt;Thomas, Lisa&lt;/author&gt;&lt;author&gt;Agostinho, Shirley&lt;/author&gt;&lt;author&gt;Lockyer, Lori&lt;/author&gt;&lt;author&gt;Jones, Jennifer&lt;/author&gt;&lt;author&gt;Harper, Barry&lt;/author&gt;&lt;/authors&gt;&lt;/contributors&gt;&lt;titles&gt;&lt;title&gt;Understanding the design context for Australian university teachers: implications for the future of learning design&lt;/title&gt;&lt;secondary-title&gt;Learning, Media and Technology&lt;/secondary-title&gt;&lt;/titles&gt;&lt;periodical&gt;&lt;full-title&gt;Learning, Media and Technology&lt;/full-title&gt;&lt;/periodical&gt;&lt;pages&gt;151-167&lt;/pages&gt;&lt;volume&gt;36&lt;/volume&gt;&lt;number&gt;2&lt;/number&gt;&lt;dates&gt;&lt;year&gt;2011&lt;/year&gt;&lt;/dates&gt;&lt;isbn&gt;1743-9884&lt;/isbn&gt;&lt;urls&gt;&lt;/urls&gt;&lt;remote-database-name&gt;/z-wcorg/&lt;/remote-database-name&gt;&lt;remote-database-provider&gt;http://worldcat.org&lt;/remote-database-provider&gt;&lt;language&gt;English&lt;/language&gt;&lt;/record&gt;&lt;/Cite&gt;&lt;/EndNote&gt;</w:instrText>
      </w:r>
      <w:r w:rsidR="009B0634" w:rsidRPr="00250D41">
        <w:fldChar w:fldCharType="separate"/>
      </w:r>
      <w:r w:rsidR="009B0634" w:rsidRPr="00250D41">
        <w:t>(</w:t>
      </w:r>
      <w:hyperlink w:anchor="_ENREF_4" w:tooltip="Bennett, 2011 #1067" w:history="1">
        <w:r w:rsidR="009B0634" w:rsidRPr="00250D41">
          <w:t>Bennett et al., 2011</w:t>
        </w:r>
      </w:hyperlink>
      <w:r w:rsidR="009B0634" w:rsidRPr="00250D41">
        <w:t>)</w:t>
      </w:r>
      <w:r w:rsidR="009B0634" w:rsidRPr="00250D41">
        <w:fldChar w:fldCharType="end"/>
      </w:r>
      <w:r w:rsidR="009B0634" w:rsidRPr="00250D41">
        <w:t xml:space="preserve"> and this work in curriculum and learning is commonly implicit and based on normative practice </w:t>
      </w:r>
      <w:r w:rsidR="009B0634" w:rsidRPr="00250D41">
        <w:fldChar w:fldCharType="begin"/>
      </w:r>
      <w:r w:rsidR="009B0634" w:rsidRPr="00250D41">
        <w:instrText xml:space="preserve"> ADDIN EN.CITE &lt;EndNote&gt;&lt;Cite&gt;&lt;Author&gt;Conole&lt;/Author&gt;&lt;Year&gt;2013&lt;/Year&gt;&lt;RecNum&gt;1066&lt;/RecNum&gt;&lt;DisplayText&gt;(Conole &amp;amp; Wills, 2013)&lt;/DisplayText&gt;&lt;record&gt;&lt;rec-number&gt;1066&lt;/rec-number&gt;&lt;foreign-keys&gt;&lt;key app="EN" db-id="0wxs2xd212d0psepw9gvads82dzep92e5xwe"&gt;1066&lt;/key&gt;&lt;/foreign-keys&gt;&lt;ref-type name="Journal Article"&gt;17&lt;/ref-type&gt;&lt;contributors&gt;&lt;authors&gt;&lt;author&gt;Conole, Grainne&lt;/author&gt;&lt;author&gt;Wills, Sandra&lt;/author&gt;&lt;/authors&gt;&lt;/contributors&gt;&lt;titles&gt;&lt;title&gt;Representing learning designs - making design explicit and shareable&lt;/title&gt;&lt;secondary-title&gt;Educational Media International&lt;/secondary-title&gt;&lt;/titles&gt;&lt;periodical&gt;&lt;full-title&gt;Educational Media International&lt;/full-title&gt;&lt;/periodical&gt;&lt;pages&gt;24-38&lt;/pages&gt;&lt;volume&gt;50&lt;/volume&gt;&lt;number&gt;1&lt;/number&gt;&lt;dates&gt;&lt;year&gt;2013&lt;/year&gt;&lt;/dates&gt;&lt;isbn&gt;0952-3987&lt;/isbn&gt;&lt;urls&gt;&lt;/urls&gt;&lt;remote-database-name&gt;/z-wcorg/&lt;/remote-database-name&gt;&lt;remote-database-provider&gt;http://worldcat.org&lt;/remote-database-provider&gt;&lt;language&gt;English&lt;/language&gt;&lt;/record&gt;&lt;/Cite&gt;&lt;/EndNote&gt;</w:instrText>
      </w:r>
      <w:r w:rsidR="009B0634" w:rsidRPr="00250D41">
        <w:fldChar w:fldCharType="separate"/>
      </w:r>
      <w:r w:rsidR="009B0634" w:rsidRPr="00250D41">
        <w:t>(</w:t>
      </w:r>
      <w:hyperlink w:anchor="_ENREF_15" w:tooltip="Conole, 2013 #1066" w:history="1">
        <w:r w:rsidR="009B0634" w:rsidRPr="00250D41">
          <w:t>Conole &amp; Wills, 2013</w:t>
        </w:r>
      </w:hyperlink>
      <w:r w:rsidR="009B0634" w:rsidRPr="00250D41">
        <w:t>)</w:t>
      </w:r>
      <w:r w:rsidR="009B0634" w:rsidRPr="00250D41">
        <w:fldChar w:fldCharType="end"/>
      </w:r>
      <w:r w:rsidR="009B0634" w:rsidRPr="00250D41">
        <w:t xml:space="preserve">.  </w:t>
      </w:r>
    </w:p>
    <w:p w:rsidR="006D4267" w:rsidRDefault="00B54861" w:rsidP="00F97EA1">
      <w:r>
        <w:t>Undergraduate qualifications</w:t>
      </w:r>
      <w:r w:rsidR="009B0634" w:rsidRPr="00250D41">
        <w:t xml:space="preserve"> have historically evolved as a collection of units which are often siloed affairs </w:t>
      </w:r>
      <w:r w:rsidR="009B0634" w:rsidRPr="00250D41">
        <w:fldChar w:fldCharType="begin"/>
      </w:r>
      <w:r w:rsidR="009B0634" w:rsidRPr="00250D41">
        <w:instrText xml:space="preserve"> ADDIN EN.CITE &lt;EndNote&gt;&lt;Cite&gt;&lt;Author&gt;Brawley&lt;/Author&gt;&lt;Year&gt;2013&lt;/Year&gt;&lt;RecNum&gt;1065&lt;/RecNum&gt;&lt;DisplayText&gt;(Brawley et al., 2013)&lt;/DisplayText&gt;&lt;record&gt;&lt;rec-number&gt;1065&lt;/rec-number&gt;&lt;foreign-keys&gt;&lt;key app="EN" db-id="0wxs2xd212d0psepw9gvads82dzep92e5xwe"&gt;1065&lt;/key&gt;&lt;/foreign-keys&gt;&lt;ref-type name="Journal Article"&gt;17&lt;/ref-type&gt;&lt;contributors&gt;&lt;authors&gt;&lt;author&gt;Brawley, Sean&lt;/author&gt;&lt;author&gt;Clark, Jennifer&lt;/author&gt;&lt;author&gt;Dixon, Chris&lt;/author&gt;&lt;author&gt;Ford, Lisa&lt;/author&gt;&lt;author&gt;Ross, Shawn&lt;/author&gt;&lt;author&gt;Upton, Stuart&lt;/author&gt;&lt;author&gt;Nielsen, Erik&lt;/author&gt;&lt;/authors&gt;&lt;/contributors&gt;&lt;titles&gt;&lt;title&gt;Learning outcomes assessment and History: TEQSA, the After Standards Project and the QA/QI challenge in Australia&lt;/title&gt;&lt;secondary-title&gt;Arts and Humanities in Higher Education&lt;/secondary-title&gt;&lt;/titles&gt;&lt;periodical&gt;&lt;full-title&gt;Arts and Humanities in Higher Education&lt;/full-title&gt;&lt;/periodical&gt;&lt;pages&gt;20-35&lt;/pages&gt;&lt;volume&gt;12&lt;/volume&gt;&lt;number&gt;1&lt;/number&gt;&lt;dates&gt;&lt;year&gt;2013&lt;/year&gt;&lt;pub-dates&gt;&lt;date&gt;February 1, 2013&lt;/date&gt;&lt;/pub-dates&gt;&lt;/dates&gt;&lt;urls&gt;&lt;related-urls&gt;&lt;url&gt;http://ahh.sagepub.com/content/12/1/20.abstract&lt;/url&gt;&lt;/related-urls&gt;&lt;/urls&gt;&lt;electronic-resource-num&gt;10.1177/1474022212460745&lt;/electronic-resource-num&gt;&lt;/record&gt;&lt;/Cite&gt;&lt;/EndNote&gt;</w:instrText>
      </w:r>
      <w:r w:rsidR="009B0634" w:rsidRPr="00250D41">
        <w:fldChar w:fldCharType="separate"/>
      </w:r>
      <w:r w:rsidR="009B0634" w:rsidRPr="00250D41">
        <w:rPr>
          <w:noProof/>
        </w:rPr>
        <w:t>(</w:t>
      </w:r>
      <w:hyperlink w:anchor="_ENREF_7" w:tooltip="Brawley, 2013 #1065" w:history="1">
        <w:r w:rsidR="009B0634" w:rsidRPr="00250D41">
          <w:rPr>
            <w:noProof/>
          </w:rPr>
          <w:t>Brawley et al., 2013</w:t>
        </w:r>
      </w:hyperlink>
      <w:r w:rsidR="009B0634" w:rsidRPr="00250D41">
        <w:rPr>
          <w:noProof/>
        </w:rPr>
        <w:t>)</w:t>
      </w:r>
      <w:r w:rsidR="009B0634" w:rsidRPr="00250D41">
        <w:fldChar w:fldCharType="end"/>
      </w:r>
      <w:r>
        <w:t xml:space="preserve"> where structural determinations are informed by historical or logical categorisation of </w:t>
      </w:r>
      <w:r w:rsidR="00F97EA1">
        <w:t xml:space="preserve">a </w:t>
      </w:r>
      <w:r>
        <w:t>discipline</w:t>
      </w:r>
      <w:r w:rsidR="00F97EA1">
        <w:t xml:space="preserve">.  </w:t>
      </w:r>
      <w:r w:rsidR="009B0634" w:rsidRPr="00250D41">
        <w:t xml:space="preserve">An ALTC report described teaching in higher education as an intensely private activity, usually carried out by individuals behind closed doors </w:t>
      </w:r>
      <w:r w:rsidR="009B0634" w:rsidRPr="00250D41">
        <w:fldChar w:fldCharType="begin"/>
      </w:r>
      <w:r w:rsidR="009B0634" w:rsidRPr="00250D41">
        <w:instrText xml:space="preserve"> ADDIN EN.CITE &lt;EndNote&gt;&lt;Cite&gt;&lt;Author&gt;Harris&lt;/Author&gt;&lt;Year&gt;2008&lt;/Year&gt;&lt;RecNum&gt;1053&lt;/RecNum&gt;&lt;DisplayText&gt;(Harris, Farrell, Bell, Devlin, &amp;amp; James, 2008)&lt;/DisplayText&gt;&lt;record&gt;&lt;rec-number&gt;1053&lt;/rec-number&gt;&lt;foreign-keys&gt;&lt;key app="EN" db-id="0wxs2xd212d0psepw9gvads82dzep92e5xwe"&gt;1053&lt;/key&gt;&lt;/foreign-keys&gt;&lt;ref-type name="Report"&gt;27&lt;/ref-type&gt;&lt;contributors&gt;&lt;authors&gt;&lt;author&gt;Harris, Kerri-Lee &lt;/author&gt;&lt;author&gt;Farrell, Kelly &lt;/author&gt;&lt;author&gt;Bell, Maureen &lt;/author&gt;&lt;author&gt;Devlin, Marcia  &lt;/author&gt;&lt;author&gt;James, Richard &lt;/author&gt;&lt;/authors&gt;&lt;/contributors&gt;&lt;titles&gt;&lt;title&gt;Peer review of teaching in Australian higher education: A handbook to support institutions in developing and embedding effective policies and practices&lt;/title&gt;&lt;/titles&gt;&lt;dates&gt;&lt;year&gt;2008&lt;/year&gt;&lt;/dates&gt;&lt;pub-location&gt;Melbourne&lt;/pub-location&gt;&lt;publisher&gt;CSHE&lt;/publisher&gt;&lt;urls&gt;&lt;/urls&gt;&lt;/record&gt;&lt;/Cite&gt;&lt;/EndNote&gt;</w:instrText>
      </w:r>
      <w:r w:rsidR="009B0634" w:rsidRPr="00250D41">
        <w:fldChar w:fldCharType="separate"/>
      </w:r>
      <w:r w:rsidR="009B0634" w:rsidRPr="00250D41">
        <w:rPr>
          <w:noProof/>
        </w:rPr>
        <w:t>(</w:t>
      </w:r>
      <w:hyperlink w:anchor="_ENREF_24" w:tooltip="Harris, 2008 #1053" w:history="1">
        <w:r w:rsidR="009B0634" w:rsidRPr="00250D41">
          <w:rPr>
            <w:noProof/>
          </w:rPr>
          <w:t>Harris, Farrell, Bell, Devlin, &amp; James, 2008</w:t>
        </w:r>
      </w:hyperlink>
      <w:r w:rsidR="009B0634" w:rsidRPr="00250D41">
        <w:rPr>
          <w:noProof/>
        </w:rPr>
        <w:t>)</w:t>
      </w:r>
      <w:r w:rsidR="009B0634" w:rsidRPr="00250D41">
        <w:fldChar w:fldCharType="end"/>
      </w:r>
      <w:r w:rsidR="009B0634" w:rsidRPr="00250D41">
        <w:t xml:space="preserve">, reflecting the sentiments of </w:t>
      </w:r>
      <w:r w:rsidR="009B0634" w:rsidRPr="00250D41">
        <w:fldChar w:fldCharType="begin"/>
      </w:r>
      <w:r w:rsidR="009B0634" w:rsidRPr="00250D41">
        <w:instrText xml:space="preserve"> ADDIN EN.CITE &lt;EndNote&gt;&lt;Cite AuthorYear="1"&gt;&lt;Author&gt;Sadler&lt;/Author&gt;&lt;Year&gt;2013&lt;/Year&gt;&lt;RecNum&gt;1051&lt;/RecNum&gt;&lt;Pages&gt;3&lt;/Pages&gt;&lt;DisplayText&gt;Sadler (2013, p. 3)&lt;/DisplayText&gt;&lt;record&gt;&lt;rec-number&gt;1051&lt;/rec-number&gt;&lt;foreign-keys&gt;&lt;key app="EN" db-id="0wxs2xd212d0psepw9gvads82dzep92e5xwe"&gt;1051&lt;/key&gt;&lt;/foreign-keys&gt;&lt;ref-type name="Book Section"&gt;5&lt;/ref-type&gt;&lt;contributors&gt;&lt;authors&gt;&lt;author&gt; Sadler, David&lt;/author&gt;&lt;/authors&gt;&lt;secondary-authors&gt;&lt;author&gt;Jones, Susan &lt;/author&gt;&lt;author&gt;Holmes, Jonathan&lt;/author&gt;&lt;/secondary-authors&gt;&lt;/contributors&gt;&lt;titles&gt;&lt;title&gt;LTAS@UTAS: Learning and teaching academic standards at The University of Tasmania&lt;/title&gt;&lt;/titles&gt;&lt;dates&gt;&lt;year&gt;2013&lt;/year&gt;&lt;/dates&gt;&lt;publisher&gt;University of Tasmania&lt;/publisher&gt;&lt;urls&gt;&lt;related-urls&gt;&lt;url&gt;http://www.utas.edu.au/__data/assets/pdf_file/0009/417555/LTAS-course-learning-outcomes-august-2013.pdf&lt;/url&gt;&lt;/related-urls&gt;&lt;/urls&gt;&lt;/record&gt;&lt;/Cite&gt;&lt;/EndNote&gt;</w:instrText>
      </w:r>
      <w:r w:rsidR="009B0634" w:rsidRPr="00250D41">
        <w:fldChar w:fldCharType="separate"/>
      </w:r>
      <w:hyperlink w:anchor="_ENREF_47" w:tooltip="Sadler, 2013 #1051" w:history="1">
        <w:r w:rsidR="009B0634" w:rsidRPr="00250D41">
          <w:rPr>
            <w:noProof/>
          </w:rPr>
          <w:t>Sadler (2013, p. 3</w:t>
        </w:r>
      </w:hyperlink>
      <w:r w:rsidR="009B0634" w:rsidRPr="00250D41">
        <w:rPr>
          <w:noProof/>
        </w:rPr>
        <w:t>)</w:t>
      </w:r>
      <w:r w:rsidR="009B0634" w:rsidRPr="00250D41">
        <w:fldChar w:fldCharType="end"/>
      </w:r>
      <w:r w:rsidR="009B0634" w:rsidRPr="00250D41">
        <w:t xml:space="preserve"> who described teaching as a “secret garden”. Due to this heritage, collective ownership of curriculum is still relatively unusual in contemporary Australian universities. </w:t>
      </w:r>
    </w:p>
    <w:p w:rsidR="00441AE6" w:rsidRDefault="009B0634" w:rsidP="00F97EA1">
      <w:r w:rsidRPr="00250D41">
        <w:t xml:space="preserve">At unit level, curriculum design and documentation (unit outlines) remain the preserve of individual academics </w:t>
      </w:r>
      <w:r w:rsidRPr="00250D41">
        <w:fldChar w:fldCharType="begin"/>
      </w:r>
      <w:r w:rsidRPr="00250D41">
        <w:instrText xml:space="preserve"> ADDIN EN.CITE &lt;EndNote&gt;&lt;Cite&gt;&lt;Author&gt;Bennett&lt;/Author&gt;&lt;Year&gt;2011&lt;/Year&gt;&lt;RecNum&gt;1067&lt;/RecNum&gt;&lt;DisplayText&gt;(Bennett et al., 2011)&lt;/DisplayText&gt;&lt;record&gt;&lt;rec-number&gt;1067&lt;/rec-number&gt;&lt;foreign-keys&gt;&lt;key app="EN" db-id="0wxs2xd212d0psepw9gvads82dzep92e5xwe"&gt;1067&lt;/key&gt;&lt;/foreign-keys&gt;&lt;ref-type name="Journal Article"&gt;17&lt;/ref-type&gt;&lt;contributors&gt;&lt;authors&gt;&lt;author&gt;Bennett, Sue&lt;/author&gt;&lt;author&gt;Thomas, Lisa&lt;/author&gt;&lt;author&gt;Agostinho, Shirley&lt;/author&gt;&lt;author&gt;Lockyer, Lori&lt;/author&gt;&lt;author&gt;Jones, Jennifer&lt;/author&gt;&lt;author&gt;Harper, Barry&lt;/author&gt;&lt;/authors&gt;&lt;/contributors&gt;&lt;titles&gt;&lt;title&gt;Understanding the design context for Australian university teachers: implications for the future of learning design&lt;/title&gt;&lt;secondary-title&gt;Learning, Media and Technology&lt;/secondary-title&gt;&lt;/titles&gt;&lt;periodical&gt;&lt;full-title&gt;Learning, Media and Technology&lt;/full-title&gt;&lt;/periodical&gt;&lt;pages&gt;151-167&lt;/pages&gt;&lt;volume&gt;36&lt;/volume&gt;&lt;number&gt;2&lt;/number&gt;&lt;dates&gt;&lt;year&gt;2011&lt;/year&gt;&lt;/dates&gt;&lt;isbn&gt;1743-9884&lt;/isbn&gt;&lt;urls&gt;&lt;/urls&gt;&lt;remote-database-name&gt;/z-wcorg/&lt;/remote-database-name&gt;&lt;remote-database-provider&gt;http://worldcat.org&lt;/remote-database-provider&gt;&lt;language&gt;English&lt;/language&gt;&lt;/record&gt;&lt;/Cite&gt;&lt;/EndNote&gt;</w:instrText>
      </w:r>
      <w:r w:rsidRPr="00250D41">
        <w:fldChar w:fldCharType="separate"/>
      </w:r>
      <w:r w:rsidRPr="00250D41">
        <w:t>(</w:t>
      </w:r>
      <w:hyperlink w:anchor="_ENREF_4" w:tooltip="Bennett, 2011 #1067" w:history="1">
        <w:r w:rsidRPr="00250D41">
          <w:t>Bennett et al., 2011</w:t>
        </w:r>
      </w:hyperlink>
      <w:r w:rsidRPr="00250D41">
        <w:t>)</w:t>
      </w:r>
      <w:r w:rsidRPr="00250D41">
        <w:fldChar w:fldCharType="end"/>
      </w:r>
      <w:r w:rsidRPr="00250D41">
        <w:t xml:space="preserve">, and are often subjected to ‘adaption’ where unit curriculum will progressively drift from the purpose it had been designed and documented to serve (e.g. progressive mismatch between unit outlines or course mapping, and units-as-delivered). Additionally, when the unit outline is used to undertake unit design it is problematic as it typically dissects the unit </w:t>
      </w:r>
      <w:r w:rsidRPr="00250D41">
        <w:rPr>
          <w:iCs/>
        </w:rPr>
        <w:t xml:space="preserve">into separate parts so that the reader can gain a greater sense of how each part works </w:t>
      </w:r>
      <w:r w:rsidRPr="00250D41">
        <w:rPr>
          <w:iCs/>
        </w:rPr>
        <w:fldChar w:fldCharType="begin"/>
      </w:r>
      <w:r w:rsidRPr="00250D41">
        <w:rPr>
          <w:iCs/>
        </w:rPr>
        <w:instrText xml:space="preserve"> ADDIN EN.CITE &lt;EndNote&gt;&lt;Cite&gt;&lt;Author&gt;Ackoff&lt;/Author&gt;&lt;Year&gt;2006&lt;/Year&gt;&lt;RecNum&gt;1047&lt;/RecNum&gt;&lt;DisplayText&gt;(Ackoff, Magidson, &amp;amp; Addison, 2006)&lt;/DisplayText&gt;&lt;record&gt;&lt;rec-number&gt;1047&lt;/rec-number&gt;&lt;foreign-keys&gt;&lt;key app="EN" db-id="0wxs2xd212d0psepw9gvads82dzep92e5xwe"&gt;1047&lt;/key&gt;&lt;/foreign-keys&gt;&lt;ref-type name="Book"&gt;6&lt;/ref-type&gt;&lt;contributors&gt;&lt;authors&gt;&lt;author&gt;Ackoff, Russell Lincoln&lt;/author&gt;&lt;author&gt;Magidson, Jason&lt;/author&gt;&lt;author&gt;Addison, Herbert J.&lt;/author&gt;&lt;/authors&gt;&lt;/contributors&gt;&lt;titles&gt;&lt;title&gt;Idealized design : creating an organization&amp;apos;s future&lt;/title&gt;&lt;/titles&gt;&lt;dates&gt;&lt;year&gt;2006&lt;/year&gt;&lt;/dates&gt;&lt;pub-location&gt;Upper Saddle River&lt;/pub-location&gt;&lt;publisher&gt;Wharton School Pub.&lt;/publisher&gt;&lt;isbn&gt;0131963635 9780131963634 9780137071111 0137071116&lt;/isbn&gt;&lt;urls&gt;&lt;/urls&gt;&lt;remote-database-name&gt;/z-wcorg/&lt;/remote-database-name&gt;&lt;remote-database-provider&gt;http://worldcat.org&lt;/remote-database-provider&gt;&lt;language&gt;English&lt;/language&gt;&lt;/record&gt;&lt;/Cite&gt;&lt;/EndNote&gt;</w:instrText>
      </w:r>
      <w:r w:rsidRPr="00250D41">
        <w:rPr>
          <w:iCs/>
        </w:rPr>
        <w:fldChar w:fldCharType="separate"/>
      </w:r>
      <w:r w:rsidRPr="00250D41">
        <w:rPr>
          <w:iCs/>
          <w:noProof/>
        </w:rPr>
        <w:t>(</w:t>
      </w:r>
      <w:hyperlink w:anchor="_ENREF_1" w:tooltip="Ackoff, 2006 #1047" w:history="1">
        <w:r w:rsidRPr="00250D41">
          <w:rPr>
            <w:iCs/>
            <w:noProof/>
          </w:rPr>
          <w:t>Ackoff, Magidson, &amp; Addison, 2006</w:t>
        </w:r>
      </w:hyperlink>
      <w:r w:rsidRPr="00250D41">
        <w:rPr>
          <w:iCs/>
          <w:noProof/>
        </w:rPr>
        <w:t>)</w:t>
      </w:r>
      <w:r w:rsidRPr="00250D41">
        <w:rPr>
          <w:iCs/>
        </w:rPr>
        <w:fldChar w:fldCharType="end"/>
      </w:r>
      <w:r w:rsidRPr="00250D41">
        <w:rPr>
          <w:iCs/>
        </w:rPr>
        <w:t>. This approach can hinder capacity to view the overall ‘interdependencies and interactions’</w:t>
      </w:r>
      <w:r w:rsidR="00B54861">
        <w:rPr>
          <w:iCs/>
        </w:rPr>
        <w:t xml:space="preserve"> </w:t>
      </w:r>
      <w:r w:rsidRPr="00250D41">
        <w:rPr>
          <w:iCs/>
        </w:rPr>
        <w:fldChar w:fldCharType="begin"/>
      </w:r>
      <w:r w:rsidRPr="00250D41">
        <w:rPr>
          <w:iCs/>
        </w:rPr>
        <w:instrText xml:space="preserve"> ADDIN EN.CITE &lt;EndNote&gt;&lt;Cite&gt;&lt;Author&gt;Jones&lt;/Author&gt;&lt;Year&gt;2009&lt;/Year&gt;&lt;RecNum&gt;1048&lt;/RecNum&gt;&lt;Pages&gt;1&lt;/Pages&gt;&lt;DisplayText&gt;(J. Jones, Bosch, Drack, Horiuchi, &amp;amp; Ramage, 2009, p. 1)&lt;/DisplayText&gt;&lt;record&gt;&lt;rec-number&gt;1048&lt;/rec-number&gt;&lt;foreign-keys&gt;&lt;key app="EN" db-id="0wxs2xd212d0psepw9gvads82dzep92e5xwe"&gt;1048&lt;/key&gt;&lt;/foreign-keys&gt;&lt;ref-type name="Journal Article"&gt;17&lt;/ref-type&gt;&lt;contributors&gt;&lt;authors&gt;&lt;author&gt;Jones, Jed&lt;/author&gt;&lt;author&gt;Bosch, Ockie&lt;/author&gt;&lt;author&gt;Drack, Manfred&lt;/author&gt;&lt;author&gt;Horiuchi, Yoshihide &lt;/author&gt;&lt;author&gt;Ramage, Magnus&lt;/author&gt;&lt;/authors&gt;&lt;/contributors&gt;&lt;titles&gt;&lt;title&gt;On the design of systems-oriented university curricula&lt;/title&gt;&lt;secondary-title&gt;The Research Reports of Shibaura Institute of Technology (Social Sciences and Humanities)&lt;/secondary-title&gt;&lt;/titles&gt;&lt;periodical&gt;&lt;full-title&gt;The Research Reports of Shibaura Institute of Technology (Social Sciences and Humanities)&lt;/full-title&gt;&lt;/periodical&gt;&lt;pages&gt;121-130&lt;/pages&gt;&lt;volume&gt;43&lt;/volume&gt;&lt;number&gt;1&lt;/number&gt;&lt;dates&gt;&lt;year&gt;2009&lt;/year&gt;&lt;/dates&gt;&lt;urls&gt;&lt;/urls&gt;&lt;/record&gt;&lt;/Cite&gt;&lt;/EndNote&gt;</w:instrText>
      </w:r>
      <w:r w:rsidRPr="00250D41">
        <w:rPr>
          <w:iCs/>
        </w:rPr>
        <w:fldChar w:fldCharType="separate"/>
      </w:r>
      <w:r w:rsidRPr="00250D41">
        <w:rPr>
          <w:iCs/>
          <w:noProof/>
        </w:rPr>
        <w:t>(</w:t>
      </w:r>
      <w:hyperlink w:anchor="_ENREF_26" w:tooltip="Jones, 2009 #1048" w:history="1">
        <w:r w:rsidRPr="00250D41">
          <w:rPr>
            <w:iCs/>
            <w:noProof/>
          </w:rPr>
          <w:t>J. Jones, Bosch, Drack, Horiuchi, &amp; Ramage, 2009, p. 1</w:t>
        </w:r>
      </w:hyperlink>
      <w:r w:rsidRPr="00250D41">
        <w:rPr>
          <w:iCs/>
          <w:noProof/>
        </w:rPr>
        <w:t>)</w:t>
      </w:r>
      <w:r w:rsidRPr="00250D41">
        <w:rPr>
          <w:iCs/>
        </w:rPr>
        <w:fldChar w:fldCharType="end"/>
      </w:r>
      <w:r w:rsidR="00F97EA1">
        <w:rPr>
          <w:iCs/>
        </w:rPr>
        <w:t xml:space="preserve"> of the unit. For principles informed curriculum renewal to be successful, visual learning design processes will need to be readily available for use by </w:t>
      </w:r>
      <w:r w:rsidR="00FE0974">
        <w:rPr>
          <w:iCs/>
        </w:rPr>
        <w:t>course and unit designers to</w:t>
      </w:r>
      <w:r w:rsidR="00597E14">
        <w:rPr>
          <w:iCs/>
        </w:rPr>
        <w:t xml:space="preserve"> collaborative review and re-design curriculum.</w:t>
      </w:r>
    </w:p>
    <w:p w:rsidR="00441AE6" w:rsidRDefault="006D4267" w:rsidP="006D4267">
      <w:pPr>
        <w:pStyle w:val="Heading2"/>
      </w:pPr>
      <w:r>
        <w:t>Learning Design as a path forward</w:t>
      </w:r>
      <w:r>
        <w:br/>
      </w:r>
    </w:p>
    <w:p w:rsidR="009B0634" w:rsidRPr="00250D41" w:rsidRDefault="009B0634" w:rsidP="006B0A8B">
      <w:r w:rsidRPr="00250D41">
        <w:t xml:space="preserve">Providing academics with accessible and adaptable learning design tools can serve as a vehicle to shift academics thinking about their practice away from an implicit belief based approach </w:t>
      </w:r>
      <w:r w:rsidRPr="00250D41">
        <w:fldChar w:fldCharType="begin"/>
      </w:r>
      <w:r w:rsidRPr="00250D41">
        <w:instrText xml:space="preserve"> ADDIN EN.CITE &lt;EndNote&gt;&lt;Cite&gt;&lt;Author&gt;Conole&lt;/Author&gt;&lt;Year&gt;2009&lt;/Year&gt;&lt;RecNum&gt;1077&lt;/RecNum&gt;&lt;DisplayText&gt;(Conole, 2009)&lt;/DisplayText&gt;&lt;record&gt;&lt;rec-number&gt;1077&lt;/rec-number&gt;&lt;foreign-keys&gt;&lt;key app="EN" db-id="0wxs2xd212d0psepw9gvads82dzep92e5xwe"&gt;1077&lt;/key&gt;&lt;/foreign-keys&gt;&lt;ref-type name="Book Section"&gt;5&lt;/ref-type&gt;&lt;contributors&gt;&lt;authors&gt;&lt;author&gt;Conole, Grainne&lt;/author&gt;&lt;/authors&gt;&lt;secondary-authors&gt;&lt;author&gt;Tait, A&lt;/author&gt;&lt;author&gt;Vidal, M&lt;/author&gt;&lt;author&gt;Bernath, U&lt;/author&gt;&lt;author&gt;Szucs, A&lt;/author&gt;&lt;/secondary-authors&gt;&lt;/contributors&gt;&lt;titles&gt;&lt;title&gt;Capturing and representing practice&lt;/title&gt;&lt;secondary-title&gt;Distance and e-learning in transition : learning innovation, technology and social challenges&lt;/secondary-title&gt;&lt;/titles&gt;&lt;dates&gt;&lt;year&gt;2009&lt;/year&gt;&lt;/dates&gt;&lt;pub-location&gt;Hoboken, NJ&lt;/pub-location&gt;&lt;publisher&gt;ISTE/John Wiley&lt;/publisher&gt;&lt;isbn&gt;9781848211322 1848211325&lt;/isbn&gt;&lt;urls&gt;&lt;/urls&gt;&lt;remote-database-name&gt;/z-wcorg/&lt;/remote-database-name&gt;&lt;remote-database-provider&gt;http://worldcat.org&lt;/remote-database-provider&gt;&lt;language&gt;English&lt;/language&gt;&lt;/record&gt;&lt;/Cite&gt;&lt;/EndNote&gt;</w:instrText>
      </w:r>
      <w:r w:rsidRPr="00250D41">
        <w:fldChar w:fldCharType="separate"/>
      </w:r>
      <w:r w:rsidRPr="00250D41">
        <w:t>(</w:t>
      </w:r>
      <w:hyperlink w:anchor="_ENREF_14" w:tooltip="Conole, 2009 #1077" w:history="1">
        <w:r w:rsidRPr="00250D41">
          <w:t>Conole, 2009</w:t>
        </w:r>
      </w:hyperlink>
      <w:r w:rsidRPr="00250D41">
        <w:t>)</w:t>
      </w:r>
      <w:r w:rsidRPr="00250D41">
        <w:fldChar w:fldCharType="end"/>
      </w:r>
      <w:r w:rsidR="00A11C83">
        <w:t xml:space="preserve">. Learning design has been </w:t>
      </w:r>
      <w:r w:rsidRPr="00250D41">
        <w:t xml:space="preserve">typically associated with the design and representation of online teaching </w:t>
      </w:r>
      <w:r w:rsidRPr="00250D41">
        <w:fldChar w:fldCharType="begin"/>
      </w:r>
      <w:r w:rsidRPr="00250D41">
        <w:instrText xml:space="preserve"> ADDIN EN.CITE &lt;EndNote&gt;&lt;Cite&gt;&lt;Author&gt;Agostinho&lt;/Author&gt;&lt;Year&gt;2011&lt;/Year&gt;&lt;RecNum&gt;1068&lt;/RecNum&gt;&lt;DisplayText&gt;(Agostinho, Bennett, Lockyer, &amp;amp; Harper, 2011)&lt;/DisplayText&gt;&lt;record&gt;&lt;rec-number&gt;1068&lt;/rec-number&gt;&lt;foreign-keys&gt;&lt;key app="EN" db-id="0wxs2xd212d0psepw9gvads82dzep92e5xwe"&gt;1068&lt;/key&gt;&lt;/foreign-keys&gt;&lt;ref-type name="Journal Article"&gt;17&lt;/ref-type&gt;&lt;contributors&gt;&lt;authors&gt;&lt;author&gt;Agostinho, Shirley&lt;/author&gt;&lt;author&gt;Bennett, Sue&lt;/author&gt;&lt;author&gt;Lockyer, Lori&lt;/author&gt;&lt;author&gt;Harper, Barry&lt;/author&gt;&lt;/authors&gt;&lt;/contributors&gt;&lt;titles&gt;&lt;title&gt;The future of learning design&lt;/title&gt;&lt;secondary-title&gt;Learning, Media and Technology&lt;/secondary-title&gt;&lt;/titles&gt;&lt;periodical&gt;&lt;full-title&gt;Learning, Media and Technology&lt;/full-title&gt;&lt;/periodical&gt;&lt;pages&gt;97-99&lt;/pages&gt;&lt;volume&gt;36&lt;/volume&gt;&lt;number&gt;2&lt;/number&gt;&lt;dates&gt;&lt;year&gt;2011&lt;/year&gt;&lt;pub-dates&gt;&lt;date&gt;2011/06/01&lt;/date&gt;&lt;/pub-dates&gt;&lt;/dates&gt;&lt;publisher&gt;Routledge&lt;/publisher&gt;&lt;isbn&gt;1743-9884&lt;/isbn&gt;&lt;urls&gt;&lt;related-urls&gt;&lt;url&gt;http://dx.doi.org/10.1080/17439884.2011.553619&lt;/url&gt;&lt;/related-urls&gt;&lt;/urls&gt;&lt;electronic-resource-num&gt;10.1080/17439884.2011.553619&lt;/electronic-resource-num&gt;&lt;access-date&gt;2015/06/15&lt;/access-date&gt;&lt;/record&gt;&lt;/Cite&gt;&lt;/EndNote&gt;</w:instrText>
      </w:r>
      <w:r w:rsidRPr="00250D41">
        <w:fldChar w:fldCharType="separate"/>
      </w:r>
      <w:r w:rsidRPr="00250D41">
        <w:t>(</w:t>
      </w:r>
      <w:hyperlink w:anchor="_ENREF_2" w:tooltip="Agostinho, 2011 #1068" w:history="1">
        <w:r w:rsidRPr="00250D41">
          <w:t>Agostinho, Bennett, Lockyer, &amp; Harper, 2011</w:t>
        </w:r>
      </w:hyperlink>
      <w:r w:rsidRPr="00250D41">
        <w:t>)</w:t>
      </w:r>
      <w:r w:rsidRPr="00250D41">
        <w:fldChar w:fldCharType="end"/>
      </w:r>
      <w:r w:rsidRPr="00250D41">
        <w:t xml:space="preserve">, although learning design </w:t>
      </w:r>
      <w:r w:rsidR="006B0A8B">
        <w:t xml:space="preserve">processes </w:t>
      </w:r>
      <w:r w:rsidRPr="00250D41">
        <w:t xml:space="preserve">can play a powerful role within </w:t>
      </w:r>
      <w:r>
        <w:t xml:space="preserve">curriculum renewal </w:t>
      </w:r>
      <w:r w:rsidRPr="00250D41">
        <w:t xml:space="preserve">by </w:t>
      </w:r>
      <w:r w:rsidR="006B0A8B">
        <w:t>enabling efficient r</w:t>
      </w:r>
      <w:r w:rsidR="009B4D13">
        <w:t xml:space="preserve">eview and re-design </w:t>
      </w:r>
      <w:r w:rsidR="006B0A8B">
        <w:t xml:space="preserve">of </w:t>
      </w:r>
      <w:r w:rsidRPr="00250D41">
        <w:t xml:space="preserve">curriculum. The production of learning designs serve to make curriculum and pedagogical decisions visible, explicit and shareable; whereby enabling academics to have a common vernacular </w:t>
      </w:r>
      <w:r w:rsidRPr="00250D41">
        <w:fldChar w:fldCharType="begin"/>
      </w:r>
      <w:r w:rsidRPr="00250D41">
        <w:instrText xml:space="preserve"> ADDIN EN.CITE &lt;EndNote&gt;&lt;Cite&gt;&lt;Author&gt;Conole&lt;/Author&gt;&lt;Year&gt;2013&lt;/Year&gt;&lt;RecNum&gt;1066&lt;/RecNum&gt;&lt;DisplayText&gt;(Conole &amp;amp; Wills, 2013)&lt;/DisplayText&gt;&lt;record&gt;&lt;rec-number&gt;1066&lt;/rec-number&gt;&lt;foreign-keys&gt;&lt;key app="EN" db-id="0wxs2xd212d0psepw9gvads82dzep92e5xwe"&gt;1066&lt;/key&gt;&lt;/foreign-keys&gt;&lt;ref-type name="Journal Article"&gt;17&lt;/ref-type&gt;&lt;contributors&gt;&lt;authors&gt;&lt;author&gt;Conole, Grainne&lt;/author&gt;&lt;author&gt;Wills, Sandra&lt;/author&gt;&lt;/authors&gt;&lt;/contributors&gt;&lt;titles&gt;&lt;title&gt;Representing learning designs - making design explicit and shareable&lt;/title&gt;&lt;secondary-title&gt;Educational Media International&lt;/secondary-title&gt;&lt;/titles&gt;&lt;periodical&gt;&lt;full-title&gt;Educational Media International&lt;/full-title&gt;&lt;/periodical&gt;&lt;pages&gt;24-38&lt;/pages&gt;&lt;volume&gt;50&lt;/volume&gt;&lt;number&gt;1&lt;/number&gt;&lt;dates&gt;&lt;year&gt;2013&lt;/year&gt;&lt;/dates&gt;&lt;isbn&gt;0952-3987&lt;/isbn&gt;&lt;urls&gt;&lt;/urls&gt;&lt;remote-database-name&gt;/z-wcorg/&lt;/remote-database-name&gt;&lt;remote-database-provider&gt;http://worldcat.org&lt;/remote-database-provider&gt;&lt;language&gt;English&lt;/language&gt;&lt;/record&gt;&lt;/Cite&gt;&lt;/EndNote&gt;</w:instrText>
      </w:r>
      <w:r w:rsidRPr="00250D41">
        <w:fldChar w:fldCharType="separate"/>
      </w:r>
      <w:r w:rsidRPr="00250D41">
        <w:t>(</w:t>
      </w:r>
      <w:hyperlink w:anchor="_ENREF_15" w:tooltip="Conole, 2013 #1066" w:history="1">
        <w:r w:rsidRPr="00250D41">
          <w:t>Conole &amp; Wills, 2013</w:t>
        </w:r>
      </w:hyperlink>
      <w:r w:rsidRPr="00250D41">
        <w:t>)</w:t>
      </w:r>
      <w:r w:rsidRPr="00250D41">
        <w:fldChar w:fldCharType="end"/>
      </w:r>
      <w:r w:rsidRPr="00250D41">
        <w:t xml:space="preserve"> to share and adopt curriculum and learning design practice with their peers </w:t>
      </w:r>
      <w:r w:rsidRPr="00250D41">
        <w:fldChar w:fldCharType="begin"/>
      </w:r>
      <w:r w:rsidRPr="00250D41">
        <w:instrText xml:space="preserve"> ADDIN EN.CITE &lt;EndNote&gt;&lt;Cite&gt;&lt;Author&gt;Bennett&lt;/Author&gt;&lt;Year&gt;2011&lt;/Year&gt;&lt;RecNum&gt;1067&lt;/RecNum&gt;&lt;DisplayText&gt;(Bennett et al., 2011; Keppell, Suddaby, &amp;amp; Hard, 2011)&lt;/DisplayText&gt;&lt;record&gt;&lt;rec-number&gt;1067&lt;/rec-number&gt;&lt;foreign-keys&gt;&lt;key app="EN" db-id="0wxs2xd212d0psepw9gvads82dzep92e5xwe"&gt;1067&lt;/key&gt;&lt;/foreign-keys&gt;&lt;ref-type name="Journal Article"&gt;17&lt;/ref-type&gt;&lt;contributors&gt;&lt;authors&gt;&lt;author&gt;Bennett, Sue&lt;/author&gt;&lt;author&gt;Thomas, Lisa&lt;/author&gt;&lt;author&gt;Agostinho, Shirley&lt;/author&gt;&lt;author&gt;Lockyer, Lori&lt;/author&gt;&lt;author&gt;Jones, Jennifer&lt;/author&gt;&lt;author&gt;Harper, Barry&lt;/author&gt;&lt;/authors&gt;&lt;/contributors&gt;&lt;titles&gt;&lt;title&gt;Understanding the design context for Australian university teachers: implications for the future of learning design&lt;/title&gt;&lt;secondary-title&gt;Learning, Media and Technology&lt;/secondary-title&gt;&lt;/titles&gt;&lt;periodical&gt;&lt;full-title&gt;Learning, Media and Technology&lt;/full-title&gt;&lt;/periodical&gt;&lt;pages&gt;151-167&lt;/pages&gt;&lt;volume&gt;36&lt;/volume&gt;&lt;number&gt;2&lt;/number&gt;&lt;dates&gt;&lt;year&gt;2011&lt;/year&gt;&lt;/dates&gt;&lt;isbn&gt;1743-9884&lt;/isbn&gt;&lt;urls&gt;&lt;/urls&gt;&lt;remote-database-name&gt;/z-wcorg/&lt;/remote-database-name&gt;&lt;remote-database-provider&gt;http://worldcat.org&lt;/remote-database-provider&gt;&lt;language&gt;English&lt;/language&gt;&lt;/record&gt;&lt;/Cite&gt;&lt;Cite&gt;&lt;Author&gt;Keppell&lt;/Author&gt;&lt;Year&gt;2011&lt;/Year&gt;&lt;RecNum&gt;915&lt;/RecNum&gt;&lt;record&gt;&lt;rec-number&gt;915&lt;/rec-number&gt;&lt;foreign-keys&gt;&lt;key app="EN" db-id="pspps0dxntwddoer29o5zfd80evfze0dz5v9"&gt;915&lt;/key&gt;&lt;/foreign-keys&gt;&lt;ref-type name="Report"&gt;27&lt;/ref-type&gt;&lt;contributors&gt;&lt;authors&gt;&lt;author&gt;Keppell, Mike&lt;/author&gt;&lt;author&gt;Suddaby, Gordon&lt;/author&gt;&lt;author&gt;Hard, Natasha &lt;/author&gt;&lt;/authors&gt;&lt;/contributors&gt;&lt;titles&gt;&lt;title&gt;Good practice report: Technology-enhanced learning and teaching&lt;/title&gt;&lt;/titles&gt;&lt;dates&gt;&lt;year&gt;2011&lt;/year&gt;&lt;/dates&gt;&lt;publisher&gt;Australian Learning and Teaching Council Limited&lt;/publisher&gt;&lt;urls&gt;&lt;/urls&gt;&lt;/record&gt;&lt;/Cite&gt;&lt;/EndNote&gt;</w:instrText>
      </w:r>
      <w:r w:rsidRPr="00250D41">
        <w:fldChar w:fldCharType="separate"/>
      </w:r>
      <w:r w:rsidRPr="00250D41">
        <w:rPr>
          <w:noProof/>
        </w:rPr>
        <w:t>(</w:t>
      </w:r>
      <w:hyperlink w:anchor="_ENREF_4" w:tooltip="Bennett, 2011 #1067" w:history="1">
        <w:r w:rsidRPr="00250D41">
          <w:rPr>
            <w:noProof/>
          </w:rPr>
          <w:t>Bennett et al., 2011</w:t>
        </w:r>
      </w:hyperlink>
      <w:r w:rsidRPr="00250D41">
        <w:rPr>
          <w:noProof/>
        </w:rPr>
        <w:t xml:space="preserve">; </w:t>
      </w:r>
      <w:hyperlink w:anchor="_ENREF_30" w:tooltip="Keppell, 2011 #915" w:history="1">
        <w:r w:rsidRPr="00250D41">
          <w:rPr>
            <w:noProof/>
          </w:rPr>
          <w:t>Keppell, Suddaby, &amp; Hard, 2011</w:t>
        </w:r>
      </w:hyperlink>
      <w:r w:rsidRPr="00250D41">
        <w:rPr>
          <w:noProof/>
        </w:rPr>
        <w:t>)</w:t>
      </w:r>
      <w:r w:rsidRPr="00250D41">
        <w:fldChar w:fldCharType="end"/>
      </w:r>
      <w:r w:rsidRPr="00250D41">
        <w:t xml:space="preserve">. </w:t>
      </w:r>
    </w:p>
    <w:p w:rsidR="009B0634" w:rsidRDefault="009B0634" w:rsidP="00FE0974">
      <w:r w:rsidRPr="00250D41">
        <w:t>There is a plethora of tools which fall under the umbrella of ‘learning design’, although many have been built on assumptions about “what users do, how they think and the contexts in which they work and use these tools”</w:t>
      </w:r>
      <w:r w:rsidRPr="00250D41">
        <w:fldChar w:fldCharType="begin"/>
      </w:r>
      <w:r w:rsidRPr="00250D41">
        <w:instrText xml:space="preserve"> ADDIN EN.CITE &lt;EndNote&gt;&lt;Cite&gt;&lt;Author&gt;Kali&lt;/Author&gt;&lt;Year&gt;2011&lt;/Year&gt;&lt;RecNum&gt;1069&lt;/RecNum&gt;&lt;Pages&gt;129&lt;/Pages&gt;&lt;DisplayText&gt;(Kali et al., 2011, p. 129)&lt;/DisplayText&gt;&lt;record&gt;&lt;rec-number&gt;1069&lt;/rec-number&gt;&lt;foreign-keys&gt;&lt;key app="EN" db-id="0wxs2xd212d0psepw9gvads82dzep92e5xwe"&gt;1069&lt;/key&gt;&lt;/foreign-keys&gt;&lt;ref-type name="Journal Article"&gt;17&lt;/ref-type&gt;&lt;contributors&gt;&lt;authors&gt;&lt;author&gt;Kali, Yael&lt;/author&gt;&lt;author&gt;Goodyear, Peter&lt;/author&gt;&lt;author&gt;Markauskaite, Lina&lt;/author&gt;&lt;/authors&gt;&lt;/contributors&gt;&lt;titles&gt;&lt;title&gt;Researching design practices and design cognition: contexts, experiences and pedagogical knowledge in pieces&lt;/title&gt;&lt;secondary-title&gt;Learning, Media and Technology&lt;/secondary-title&gt;&lt;/titles&gt;&lt;periodical&gt;&lt;full-title&gt;Learning, Media and Technology&lt;/full-title&gt;&lt;/periodical&gt;&lt;pages&gt;129-149&lt;/pages&gt;&lt;volume&gt;36&lt;/volume&gt;&lt;number&gt;2&lt;/number&gt;&lt;dates&gt;&lt;year&gt;2011&lt;/year&gt;&lt;pub-dates&gt;&lt;date&gt;2011/06/01&lt;/date&gt;&lt;/pub-dates&gt;&lt;/dates&gt;&lt;publisher&gt;Routledge&lt;/publisher&gt;&lt;isbn&gt;1743-9884&lt;/isbn&gt;&lt;urls&gt;&lt;related-urls&gt;&lt;url&gt;http://dx.doi.org/10.1080/17439884.2011.553621&lt;/url&gt;&lt;/related-urls&gt;&lt;/urls&gt;&lt;electronic-resource-num&gt;10.1080/17439884.2011.553621&lt;/electronic-resource-num&gt;&lt;access-date&gt;2015/06/15&lt;/access-date&gt;&lt;/record&gt;&lt;/Cite&gt;&lt;/EndNote&gt;</w:instrText>
      </w:r>
      <w:r w:rsidRPr="00250D41">
        <w:fldChar w:fldCharType="separate"/>
      </w:r>
      <w:r w:rsidRPr="00250D41">
        <w:t>(</w:t>
      </w:r>
      <w:hyperlink w:anchor="_ENREF_28" w:tooltip="Kali, 2011 #1069" w:history="1">
        <w:r w:rsidRPr="00250D41">
          <w:t>Kali et al., 2011, p. 129</w:t>
        </w:r>
      </w:hyperlink>
      <w:r w:rsidRPr="00250D41">
        <w:t>)</w:t>
      </w:r>
      <w:r w:rsidRPr="00250D41">
        <w:fldChar w:fldCharType="end"/>
      </w:r>
      <w:r w:rsidRPr="00250D41">
        <w:t xml:space="preserve">. Meanwhile, tools such as the Learning Activity Management System (LAMS) </w:t>
      </w:r>
      <w:r w:rsidRPr="00250D41">
        <w:fldChar w:fldCharType="begin"/>
      </w:r>
      <w:r w:rsidRPr="00250D41">
        <w:instrText xml:space="preserve"> ADDIN EN.CITE &lt;EndNote&gt;&lt;Cite&gt;&lt;Author&gt;LAMS Foundation&lt;/Author&gt;&lt;Year&gt;2015&lt;/Year&gt;&lt;RecNum&gt;1078&lt;/RecNum&gt;&lt;DisplayText&gt;(LAMS Foundation, 2015)&lt;/DisplayText&gt;&lt;record&gt;&lt;rec-number&gt;1078&lt;/rec-number&gt;&lt;foreign-keys&gt;&lt;key app="EN" db-id="0wxs2xd212d0psepw9gvads82dzep92e5xwe"&gt;1078&lt;/key&gt;&lt;/foreign-keys&gt;&lt;ref-type name="Web Page"&gt;12&lt;/ref-type&gt;&lt;contributors&gt;&lt;authors&gt;&lt;author&gt;LAMS Foundation,&lt;/author&gt;&lt;/authors&gt;&lt;/contributors&gt;&lt;titles&gt;&lt;title&gt;Learning activity management system&lt;/title&gt;&lt;/titles&gt;&lt;volume&gt;2015&lt;/volume&gt;&lt;number&gt;17 June&lt;/number&gt;&lt;dates&gt;&lt;year&gt;2015&lt;/year&gt;&lt;/dates&gt;&lt;urls&gt;&lt;related-urls&gt;&lt;url&gt;http://lamsfoundation.org/&lt;/url&gt;&lt;/related-urls&gt;&lt;/urls&gt;&lt;/record&gt;&lt;/Cite&gt;&lt;/EndNote&gt;</w:instrText>
      </w:r>
      <w:r w:rsidRPr="00250D41">
        <w:fldChar w:fldCharType="separate"/>
      </w:r>
      <w:r w:rsidRPr="00250D41">
        <w:t>(</w:t>
      </w:r>
      <w:hyperlink w:anchor="_ENREF_34" w:tooltip="LAMS Foundation, 2015 #1078" w:history="1">
        <w:r w:rsidRPr="00250D41">
          <w:t>LAMS Foundation, 2015</w:t>
        </w:r>
      </w:hyperlink>
      <w:r w:rsidRPr="00250D41">
        <w:t>)</w:t>
      </w:r>
      <w:r w:rsidRPr="00250D41">
        <w:fldChar w:fldCharType="end"/>
      </w:r>
      <w:r w:rsidRPr="00250D41">
        <w:t xml:space="preserve"> and Compendium LD </w:t>
      </w:r>
      <w:r w:rsidRPr="00250D41">
        <w:fldChar w:fldCharType="begin"/>
      </w:r>
      <w:r w:rsidRPr="00250D41">
        <w:instrText xml:space="preserve"> ADDIN EN.CITE &lt;EndNote&gt;&lt;Cite&gt;&lt;Author&gt;Open University&lt;/Author&gt;&lt;Year&gt;2015&lt;/Year&gt;&lt;RecNum&gt;1079&lt;/RecNum&gt;&lt;DisplayText&gt;(Open University, 2015)&lt;/DisplayText&gt;&lt;record&gt;&lt;rec-number&gt;1079&lt;/rec-number&gt;&lt;foreign-keys&gt;&lt;key app="EN" db-id="0wxs2xd212d0psepw9gvads82dzep92e5xwe"&gt;1079&lt;/key&gt;&lt;/foreign-keys&gt;&lt;ref-type name="Web Page"&gt;12&lt;/ref-type&gt;&lt;contributors&gt;&lt;authors&gt;&lt;author&gt;Open University,&lt;/author&gt;&lt;/authors&gt;&lt;/contributors&gt;&lt;titles&gt;&lt;title&gt;Compendium LD&lt;/title&gt;&lt;/titles&gt;&lt;volume&gt;2015&lt;/volume&gt;&lt;number&gt;18 June&lt;/number&gt;&lt;dates&gt;&lt;year&gt;2015&lt;/year&gt;&lt;/dates&gt;&lt;urls&gt;&lt;related-urls&gt;&lt;url&gt;http://compendiumld.open.ac.uk/&lt;/url&gt;&lt;/related-urls&gt;&lt;/urls&gt;&lt;/record&gt;&lt;/Cite&gt;&lt;/EndNote&gt;</w:instrText>
      </w:r>
      <w:r w:rsidRPr="00250D41">
        <w:fldChar w:fldCharType="separate"/>
      </w:r>
      <w:r w:rsidRPr="00250D41">
        <w:rPr>
          <w:noProof/>
        </w:rPr>
        <w:t>(</w:t>
      </w:r>
      <w:hyperlink w:anchor="_ENREF_43" w:tooltip="Open University, 2015 #1079" w:history="1">
        <w:r w:rsidRPr="00250D41">
          <w:rPr>
            <w:noProof/>
          </w:rPr>
          <w:t>Open University, 2015</w:t>
        </w:r>
      </w:hyperlink>
      <w:r w:rsidRPr="00250D41">
        <w:rPr>
          <w:noProof/>
        </w:rPr>
        <w:t>)</w:t>
      </w:r>
      <w:r w:rsidRPr="00250D41">
        <w:fldChar w:fldCharType="end"/>
      </w:r>
      <w:r w:rsidRPr="00250D41">
        <w:t xml:space="preserve"> provide a wealth of guidance for teachers in the design of learning; but </w:t>
      </w:r>
      <w:r w:rsidR="009B4D13">
        <w:t xml:space="preserve">can require </w:t>
      </w:r>
      <w:r w:rsidRPr="00250D41">
        <w:t xml:space="preserve">a significant time investment for academics to achieve mastery </w:t>
      </w:r>
      <w:r w:rsidRPr="00250D41">
        <w:fldChar w:fldCharType="begin"/>
      </w:r>
      <w:r w:rsidRPr="00250D41">
        <w:instrText xml:space="preserve"> ADDIN EN.CITE &lt;EndNote&gt;&lt;Cite&gt;&lt;Author&gt;Kali&lt;/Author&gt;&lt;Year&gt;2011&lt;/Year&gt;&lt;RecNum&gt;1069&lt;/RecNum&gt;&lt;DisplayText&gt;(Kali et al., 2011)&lt;/DisplayText&gt;&lt;record&gt;&lt;rec-number&gt;1069&lt;/rec-number&gt;&lt;foreign-keys&gt;&lt;key app="EN" db-id="0wxs2xd212d0psepw9gvads82dzep92e5xwe"&gt;1069&lt;/key&gt;&lt;/foreign-keys&gt;&lt;ref-type name="Journal Article"&gt;17&lt;/ref-type&gt;&lt;contributors&gt;&lt;authors&gt;&lt;author&gt;Kali, Yael&lt;/author&gt;&lt;author&gt;Goodyear, Peter&lt;/author&gt;&lt;author&gt;Markauskaite, Lina&lt;/author&gt;&lt;/authors&gt;&lt;/contributors&gt;&lt;titles&gt;&lt;title&gt;Researching design practices and design cognition: contexts, experiences and pedagogical knowledge in pieces&lt;/title&gt;&lt;secondary-title&gt;Learning, Media and Technology&lt;/secondary-title&gt;&lt;/titles&gt;&lt;periodical&gt;&lt;full-title&gt;Learning, Media and Technology&lt;/full-title&gt;&lt;/periodical&gt;&lt;pages&gt;129-149&lt;/pages&gt;&lt;volume&gt;36&lt;/volume&gt;&lt;number&gt;2&lt;/number&gt;&lt;dates&gt;&lt;year&gt;2011&lt;/year&gt;&lt;pub-dates&gt;&lt;date&gt;2011/06/01&lt;/date&gt;&lt;/pub-dates&gt;&lt;/dates&gt;&lt;publisher&gt;Routledge&lt;/publisher&gt;&lt;isbn&gt;1743-9884&lt;/isbn&gt;&lt;urls&gt;&lt;related-urls&gt;&lt;url&gt;http://dx.doi.org/10.1080/17439884.2011.553621&lt;/url&gt;&lt;/related-urls&gt;&lt;/urls&gt;&lt;electronic-resource-num&gt;10.1080/17439884.2011.553621&lt;/electronic-resource-num&gt;&lt;access-date&gt;2015/06/15&lt;/access-date&gt;&lt;/record&gt;&lt;/Cite&gt;&lt;/EndNote&gt;</w:instrText>
      </w:r>
      <w:r w:rsidRPr="00250D41">
        <w:fldChar w:fldCharType="separate"/>
      </w:r>
      <w:r w:rsidRPr="00250D41">
        <w:t>(</w:t>
      </w:r>
      <w:hyperlink w:anchor="_ENREF_28" w:tooltip="Kali, 2011 #1069" w:history="1">
        <w:r w:rsidRPr="00250D41">
          <w:t>Kali et al., 2011</w:t>
        </w:r>
      </w:hyperlink>
      <w:r w:rsidRPr="00250D41">
        <w:t>)</w:t>
      </w:r>
      <w:r w:rsidRPr="00250D41">
        <w:fldChar w:fldCharType="end"/>
      </w:r>
      <w:r>
        <w:t>. Within the context of principles informed curriculum renewal</w:t>
      </w:r>
      <w:r w:rsidRPr="00250D41">
        <w:t xml:space="preserve">, these tools are unlikely to play a systemic role due to their complexity and intended purpose as guidance tools. </w:t>
      </w:r>
      <w:r>
        <w:t>L</w:t>
      </w:r>
      <w:r w:rsidRPr="00250D41">
        <w:t xml:space="preserve">earning design </w:t>
      </w:r>
      <w:r w:rsidR="009B4D13">
        <w:t xml:space="preserve">processes </w:t>
      </w:r>
      <w:r w:rsidRPr="00250D41">
        <w:t>need to be accessible, immediate</w:t>
      </w:r>
      <w:r w:rsidR="009B4D13">
        <w:t>, replicable</w:t>
      </w:r>
      <w:r w:rsidRPr="00250D41">
        <w:t xml:space="preserve"> and adaptable focused on enabling academics to visualise and conceptualise their practice </w:t>
      </w:r>
      <w:r w:rsidR="00FE0974">
        <w:t xml:space="preserve">to enable collective revision by teaching teams. </w:t>
      </w:r>
      <w:r w:rsidR="006D4267">
        <w:br/>
      </w:r>
    </w:p>
    <w:p w:rsidR="00353EF9" w:rsidRDefault="00353EF9" w:rsidP="009B0634">
      <w:r w:rsidRPr="00250D41">
        <w:rPr>
          <w:noProof/>
        </w:rPr>
        <w:drawing>
          <wp:inline distT="0" distB="0" distL="0" distR="0" wp14:anchorId="77978C3D" wp14:editId="188E883E">
            <wp:extent cx="5753100" cy="409575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53EF9" w:rsidRDefault="00353EF9" w:rsidP="009B0634"/>
    <w:p w:rsidR="00ED0E44" w:rsidRPr="00250D41" w:rsidRDefault="006D4267" w:rsidP="006D4267">
      <w:pPr>
        <w:pStyle w:val="Heading2"/>
      </w:pPr>
      <w:r>
        <w:t>Normalised</w:t>
      </w:r>
      <w:r w:rsidR="00ED0E44" w:rsidRPr="00250D41">
        <w:t xml:space="preserve"> learning design practice</w:t>
      </w:r>
      <w:r w:rsidR="001C4A65">
        <w:t xml:space="preserve"> at UTAS </w:t>
      </w:r>
      <w:r w:rsidR="00ED0E44" w:rsidRPr="00250D41">
        <w:br/>
      </w:r>
    </w:p>
    <w:p w:rsidR="00111F3C" w:rsidRDefault="00111F3C" w:rsidP="002D4811">
      <w:r>
        <w:t>When there are no commonly available processes for learning design, the practice of</w:t>
      </w:r>
      <w:r w:rsidR="002D4811">
        <w:t xml:space="preserve"> </w:t>
      </w:r>
      <w:r>
        <w:t>designing curriculum can often be categorised</w:t>
      </w:r>
      <w:r w:rsidR="002D4811">
        <w:t xml:space="preserve"> within at least one of three </w:t>
      </w:r>
      <w:r>
        <w:t>generalisations:</w:t>
      </w:r>
    </w:p>
    <w:p w:rsidR="002D4811" w:rsidRDefault="007076ED" w:rsidP="007076ED">
      <w:pPr>
        <w:pStyle w:val="ListParagraph"/>
        <w:numPr>
          <w:ilvl w:val="0"/>
          <w:numId w:val="9"/>
        </w:numPr>
      </w:pPr>
      <w:r>
        <w:t>Ideas for components of curriculum (or clusters of knowledge and skills)</w:t>
      </w:r>
      <w:r w:rsidR="002D4811">
        <w:t xml:space="preserve"> are visually organised as a mind</w:t>
      </w:r>
      <w:r>
        <w:t>-</w:t>
      </w:r>
      <w:r w:rsidR="002D4811">
        <w:t>map using paper or dedicated software.</w:t>
      </w:r>
    </w:p>
    <w:p w:rsidR="002D4811" w:rsidRDefault="002D4811" w:rsidP="00111F3C">
      <w:pPr>
        <w:pStyle w:val="ListParagraph"/>
        <w:numPr>
          <w:ilvl w:val="0"/>
          <w:numId w:val="9"/>
        </w:numPr>
      </w:pPr>
      <w:r>
        <w:t>The relational work of ‘aligning’ curriculum is performed using a tabular interface such as a spreadsheet or graph.</w:t>
      </w:r>
    </w:p>
    <w:p w:rsidR="00111F3C" w:rsidRDefault="007076ED" w:rsidP="007076ED">
      <w:pPr>
        <w:pStyle w:val="ListParagraph"/>
        <w:numPr>
          <w:ilvl w:val="0"/>
          <w:numId w:val="9"/>
        </w:numPr>
      </w:pPr>
      <w:r>
        <w:t xml:space="preserve">Reporting templates such as course schedules, unit outlines and new course/unit forms are utilised to formulate the curriculum. </w:t>
      </w:r>
    </w:p>
    <w:p w:rsidR="003E7B3A" w:rsidRDefault="003E7B3A" w:rsidP="003E7B3A">
      <w:r>
        <w:t xml:space="preserve">Curriculum design practice which can be situated under the first two generalisations is largely dependent on individual academics being exposed to these methods by their colleagues, or that they have acquired methods of curriculum development through professional learning.  For academics who have not being exposed to these two enablers, it is probable that they will resort to an approach to curriculum design which relies on the adaption of reporting templates. </w:t>
      </w:r>
    </w:p>
    <w:p w:rsidR="00111F3C" w:rsidRDefault="007076ED" w:rsidP="00DC4BC4">
      <w:r>
        <w:t xml:space="preserve">Listed below are </w:t>
      </w:r>
      <w:r w:rsidR="00C10DF8">
        <w:t>three</w:t>
      </w:r>
      <w:r>
        <w:t xml:space="preserve"> current UTAS reporting </w:t>
      </w:r>
      <w:r w:rsidR="003E7B3A">
        <w:t xml:space="preserve">templates </w:t>
      </w:r>
      <w:r w:rsidR="00DC4BC4">
        <w:t>that serve a d</w:t>
      </w:r>
      <w:r w:rsidR="003E7B3A">
        <w:t>esign</w:t>
      </w:r>
      <w:r w:rsidR="00DC4BC4">
        <w:t xml:space="preserve"> function </w:t>
      </w:r>
      <w:r w:rsidR="003E7B3A">
        <w:t xml:space="preserve">in the absence of accessible learning design processes and tools. </w:t>
      </w:r>
    </w:p>
    <w:p w:rsidR="006F0BC6" w:rsidRDefault="006F0BC6" w:rsidP="00C0755B">
      <w:pPr>
        <w:ind w:left="720"/>
      </w:pPr>
      <w:r w:rsidRPr="00441AE6">
        <w:rPr>
          <w:rStyle w:val="Heading3Char"/>
        </w:rPr>
        <w:t xml:space="preserve">The </w:t>
      </w:r>
      <w:r w:rsidR="009365C7">
        <w:rPr>
          <w:rStyle w:val="Heading3Char"/>
        </w:rPr>
        <w:t xml:space="preserve">course </w:t>
      </w:r>
      <w:r w:rsidRPr="00441AE6">
        <w:rPr>
          <w:rStyle w:val="Heading3Char"/>
        </w:rPr>
        <w:t>schedule</w:t>
      </w:r>
      <w:r>
        <w:t xml:space="preserve"> </w:t>
      </w:r>
      <w:r w:rsidR="00DC4BC4">
        <w:t xml:space="preserve">– This grid typically articulates the sequence of units which will be offered over the delivery period of the qualification. This control panel view of the qualification can </w:t>
      </w:r>
      <w:r w:rsidR="00C0755B">
        <w:t xml:space="preserve">facilitate discussions between academics deciding which units to plug into the course structure. It provides capacity for design decisions to be made in lieu of a process where course learning outcomes are conceptualised as a series of intended learning outcomes that are </w:t>
      </w:r>
      <w:r w:rsidR="00483502">
        <w:t xml:space="preserve">subsequently </w:t>
      </w:r>
      <w:r w:rsidR="00C0755B">
        <w:t xml:space="preserve">grouped into units of study. </w:t>
      </w:r>
    </w:p>
    <w:p w:rsidR="00441AE6" w:rsidRDefault="00A53E91" w:rsidP="00C10DF8">
      <w:pPr>
        <w:ind w:left="720"/>
      </w:pPr>
      <w:r w:rsidRPr="00441AE6">
        <w:rPr>
          <w:rStyle w:val="Heading3Char"/>
        </w:rPr>
        <w:t>A curriculum map</w:t>
      </w:r>
      <w:r>
        <w:t xml:space="preserve"> –</w:t>
      </w:r>
      <w:r w:rsidR="00441AE6">
        <w:t xml:space="preserve"> </w:t>
      </w:r>
      <w:r w:rsidR="00441AE6" w:rsidRPr="00250D41">
        <w:t xml:space="preserve">Mapping individual units to overarching learning outcomes is often a retrospective exercise </w:t>
      </w:r>
      <w:r w:rsidR="002C0FEB">
        <w:t xml:space="preserve">especially for </w:t>
      </w:r>
      <w:r w:rsidR="00441AE6" w:rsidRPr="00250D41">
        <w:t xml:space="preserve">programs </w:t>
      </w:r>
      <w:r w:rsidR="002C0FEB">
        <w:t xml:space="preserve">that pre-date </w:t>
      </w:r>
      <w:r w:rsidR="00441AE6" w:rsidRPr="00250D41">
        <w:t>criterion referenced assessment and the L</w:t>
      </w:r>
      <w:r w:rsidR="002C0FEB">
        <w:t xml:space="preserve">earning and Teaching Standards project. This practice of ‘retrospective mapping’ can be extended to new course design as a means to </w:t>
      </w:r>
      <w:r w:rsidR="00C10DF8">
        <w:t xml:space="preserve">verify or </w:t>
      </w:r>
      <w:r w:rsidR="002C0FEB">
        <w:t xml:space="preserve">justify </w:t>
      </w:r>
      <w:r w:rsidR="00C10DF8">
        <w:t xml:space="preserve">design </w:t>
      </w:r>
      <w:r w:rsidR="002C0FEB">
        <w:t>decisions that h</w:t>
      </w:r>
      <w:r w:rsidR="00C10DF8">
        <w:t xml:space="preserve">ave already been made, informed by considerations that may be logistical, personal and/or historical. </w:t>
      </w:r>
    </w:p>
    <w:p w:rsidR="00A53E91" w:rsidRPr="00250D41" w:rsidRDefault="00A53E91" w:rsidP="00C646D2">
      <w:pPr>
        <w:ind w:left="720"/>
      </w:pPr>
      <w:r w:rsidRPr="00441AE6">
        <w:rPr>
          <w:rStyle w:val="Heading3Char"/>
        </w:rPr>
        <w:t>The unit outline</w:t>
      </w:r>
      <w:r>
        <w:t xml:space="preserve"> - </w:t>
      </w:r>
      <w:r w:rsidR="00ED0E44" w:rsidRPr="00250D41">
        <w:t>This document is primarily intended to serve as</w:t>
      </w:r>
      <w:r w:rsidR="00C10DF8">
        <w:t xml:space="preserve"> an enabler for students </w:t>
      </w:r>
      <w:r w:rsidR="009365C7">
        <w:t xml:space="preserve">to determine </w:t>
      </w:r>
      <w:r w:rsidR="00ED0E44" w:rsidRPr="00250D41">
        <w:t xml:space="preserve">what the expectations are to successfully complete the unit. </w:t>
      </w:r>
      <w:r w:rsidR="009365C7">
        <w:t>Each of the unit elements such as intended learning outcomes, assessment tasks, learning activities and instruction are present</w:t>
      </w:r>
      <w:r w:rsidR="00483502">
        <w:t>ed</w:t>
      </w:r>
      <w:r w:rsidR="009365C7">
        <w:t xml:space="preserve"> separately. </w:t>
      </w:r>
      <w:r w:rsidR="00ED0E44" w:rsidRPr="00250D41">
        <w:t xml:space="preserve">Consequently, it can be difficult </w:t>
      </w:r>
      <w:r w:rsidR="006F0BC6">
        <w:t xml:space="preserve">for the unit designer </w:t>
      </w:r>
      <w:r w:rsidR="00ED0E44" w:rsidRPr="00250D41">
        <w:t xml:space="preserve">to </w:t>
      </w:r>
      <w:r w:rsidR="006F0BC6">
        <w:t>develop a working conceptual map which articulates the interrelationship between each of the ele</w:t>
      </w:r>
      <w:r w:rsidR="00483502">
        <w:t>ments in the unit, as per the earlier discussion of constructive alignment.</w:t>
      </w:r>
      <w:r w:rsidR="001F458E">
        <w:t xml:space="preserve"> </w:t>
      </w:r>
      <w:r w:rsidR="00C646D2">
        <w:br/>
      </w:r>
    </w:p>
    <w:p w:rsidR="003B6532" w:rsidRDefault="008748D3" w:rsidP="008748D3">
      <w:pPr>
        <w:pStyle w:val="Heading2"/>
        <w:rPr>
          <w:lang w:val="en-US"/>
        </w:rPr>
      </w:pPr>
      <w:r>
        <w:rPr>
          <w:lang w:val="en-US"/>
        </w:rPr>
        <w:t xml:space="preserve">How can Learning Design work within </w:t>
      </w:r>
      <w:r w:rsidR="00353EF9">
        <w:rPr>
          <w:lang w:val="en-US"/>
        </w:rPr>
        <w:t xml:space="preserve">the multiple components of curriculum renewal </w:t>
      </w:r>
      <w:r w:rsidR="00353EF9">
        <w:rPr>
          <w:lang w:val="en-US"/>
        </w:rPr>
        <w:br/>
      </w:r>
    </w:p>
    <w:p w:rsidR="00B776AE" w:rsidRPr="00B776AE" w:rsidRDefault="00C646D2" w:rsidP="00B776AE">
      <w:pPr>
        <w:rPr>
          <w:lang w:val="en-US"/>
        </w:rPr>
      </w:pPr>
      <w:r w:rsidRPr="00C53DEA">
        <w:rPr>
          <w:lang w:val="en-US"/>
        </w:rPr>
        <w:t>The</w:t>
      </w:r>
      <w:r w:rsidR="00C53DEA" w:rsidRPr="00C53DEA">
        <w:rPr>
          <w:lang w:val="en-US"/>
        </w:rPr>
        <w:t xml:space="preserve"> table below provides a succinct overview explaining how </w:t>
      </w:r>
      <w:r w:rsidRPr="00C53DEA">
        <w:rPr>
          <w:lang w:val="en-US"/>
        </w:rPr>
        <w:t>various components of curriculum renewal can be enhanced or furthered through the provision of learning design proc</w:t>
      </w:r>
      <w:r w:rsidR="00C53DEA" w:rsidRPr="00C53DEA">
        <w:rPr>
          <w:lang w:val="en-US"/>
        </w:rPr>
        <w:t xml:space="preserve">esses and tools. </w:t>
      </w:r>
    </w:p>
    <w:tbl>
      <w:tblPr>
        <w:tblStyle w:val="TableGrid"/>
        <w:tblW w:w="0" w:type="auto"/>
        <w:tblLook w:val="04A0" w:firstRow="1" w:lastRow="0" w:firstColumn="1" w:lastColumn="0" w:noHBand="0" w:noVBand="1"/>
      </w:tblPr>
      <w:tblGrid>
        <w:gridCol w:w="1803"/>
        <w:gridCol w:w="2374"/>
        <w:gridCol w:w="2374"/>
        <w:gridCol w:w="2375"/>
      </w:tblGrid>
      <w:tr w:rsidR="00C53DEA" w:rsidTr="007330C5">
        <w:tc>
          <w:tcPr>
            <w:tcW w:w="1803" w:type="dxa"/>
          </w:tcPr>
          <w:p w:rsidR="00C53DEA" w:rsidRPr="008C4A72" w:rsidRDefault="00C53DEA" w:rsidP="007330C5">
            <w:pPr>
              <w:rPr>
                <w:b/>
                <w:bCs/>
                <w:sz w:val="18"/>
                <w:szCs w:val="18"/>
                <w:lang w:val="en-US"/>
              </w:rPr>
            </w:pPr>
            <w:r w:rsidRPr="008C4A72">
              <w:rPr>
                <w:b/>
                <w:bCs/>
                <w:sz w:val="18"/>
                <w:szCs w:val="18"/>
                <w:lang w:val="en-US"/>
              </w:rPr>
              <w:t>Course Design</w:t>
            </w:r>
          </w:p>
          <w:p w:rsidR="00C53DEA" w:rsidRPr="008C4A72" w:rsidRDefault="00C53DEA" w:rsidP="007330C5">
            <w:pPr>
              <w:rPr>
                <w:b/>
                <w:bCs/>
                <w:sz w:val="18"/>
                <w:szCs w:val="18"/>
              </w:rPr>
            </w:pPr>
          </w:p>
        </w:tc>
        <w:tc>
          <w:tcPr>
            <w:tcW w:w="2374" w:type="dxa"/>
          </w:tcPr>
          <w:p w:rsidR="00C53DEA" w:rsidRPr="008C4A72" w:rsidRDefault="00C53DEA" w:rsidP="007330C5">
            <w:pPr>
              <w:rPr>
                <w:sz w:val="18"/>
                <w:szCs w:val="18"/>
                <w:lang w:val="en-US"/>
              </w:rPr>
            </w:pPr>
            <w:r w:rsidRPr="008C4A72">
              <w:rPr>
                <w:sz w:val="18"/>
                <w:szCs w:val="18"/>
                <w:lang w:val="en-US"/>
              </w:rPr>
              <w:t>Ensures that course development is a backwards design activity commencing with macro level definitions of the intended graduate(s)</w:t>
            </w:r>
          </w:p>
          <w:p w:rsidR="00C53DEA" w:rsidRPr="008C4A72" w:rsidRDefault="00C53DEA" w:rsidP="007330C5">
            <w:pPr>
              <w:rPr>
                <w:sz w:val="18"/>
                <w:szCs w:val="18"/>
                <w:lang w:val="en-US"/>
              </w:rPr>
            </w:pPr>
          </w:p>
        </w:tc>
        <w:tc>
          <w:tcPr>
            <w:tcW w:w="2374" w:type="dxa"/>
          </w:tcPr>
          <w:p w:rsidR="00C53DEA" w:rsidRPr="008C4A72" w:rsidRDefault="00C53DEA" w:rsidP="007330C5">
            <w:pPr>
              <w:rPr>
                <w:sz w:val="18"/>
                <w:szCs w:val="18"/>
                <w:lang w:val="en-US"/>
              </w:rPr>
            </w:pPr>
            <w:r w:rsidRPr="008C4A72">
              <w:rPr>
                <w:sz w:val="18"/>
                <w:szCs w:val="18"/>
                <w:lang w:val="en-US"/>
              </w:rPr>
              <w:t xml:space="preserve">Engenders development of units which are primarily informed by a series of intended learning outcomes that define the threshold knowledge and skills for each of the course learning outcomes  </w:t>
            </w:r>
          </w:p>
          <w:p w:rsidR="00C53DEA" w:rsidRPr="008C4A72" w:rsidRDefault="00C53DEA" w:rsidP="007330C5">
            <w:pPr>
              <w:rPr>
                <w:sz w:val="18"/>
                <w:szCs w:val="18"/>
                <w:lang w:val="en-US"/>
              </w:rPr>
            </w:pPr>
          </w:p>
        </w:tc>
        <w:tc>
          <w:tcPr>
            <w:tcW w:w="2375" w:type="dxa"/>
          </w:tcPr>
          <w:p w:rsidR="00C53DEA" w:rsidRPr="008C4A72" w:rsidRDefault="00C53DEA" w:rsidP="007330C5">
            <w:pPr>
              <w:rPr>
                <w:sz w:val="18"/>
                <w:szCs w:val="18"/>
                <w:lang w:val="en-US"/>
              </w:rPr>
            </w:pPr>
            <w:r w:rsidRPr="008C4A72">
              <w:rPr>
                <w:sz w:val="18"/>
                <w:szCs w:val="18"/>
                <w:lang w:val="en-US"/>
              </w:rPr>
              <w:t xml:space="preserve">Discourages use of the course schedule as a design tool where units are placed in a structure based on their coverage of discipline knowledge </w:t>
            </w:r>
          </w:p>
          <w:p w:rsidR="00C53DEA" w:rsidRPr="008C4A72" w:rsidRDefault="00C53DEA" w:rsidP="007330C5">
            <w:pPr>
              <w:rPr>
                <w:sz w:val="18"/>
                <w:szCs w:val="18"/>
                <w:lang w:val="en-US"/>
              </w:rPr>
            </w:pPr>
          </w:p>
        </w:tc>
      </w:tr>
      <w:tr w:rsidR="00C53DEA" w:rsidTr="007330C5">
        <w:tc>
          <w:tcPr>
            <w:tcW w:w="1803" w:type="dxa"/>
          </w:tcPr>
          <w:p w:rsidR="00C53DEA" w:rsidRPr="008C4A72" w:rsidRDefault="00C53DEA" w:rsidP="007330C5">
            <w:pPr>
              <w:rPr>
                <w:b/>
                <w:bCs/>
                <w:sz w:val="18"/>
                <w:szCs w:val="18"/>
                <w:lang w:val="en-US"/>
              </w:rPr>
            </w:pPr>
            <w:r w:rsidRPr="008C4A72">
              <w:rPr>
                <w:b/>
                <w:bCs/>
                <w:sz w:val="18"/>
                <w:szCs w:val="18"/>
                <w:lang w:val="en-US"/>
              </w:rPr>
              <w:t>Unit Design</w:t>
            </w:r>
          </w:p>
          <w:p w:rsidR="00C53DEA" w:rsidRPr="008C4A72" w:rsidRDefault="00C53DEA" w:rsidP="007330C5">
            <w:pPr>
              <w:rPr>
                <w:b/>
                <w:bCs/>
                <w:sz w:val="18"/>
                <w:szCs w:val="18"/>
              </w:rPr>
            </w:pPr>
          </w:p>
        </w:tc>
        <w:tc>
          <w:tcPr>
            <w:tcW w:w="2374" w:type="dxa"/>
          </w:tcPr>
          <w:p w:rsidR="00C53DEA" w:rsidRPr="00AA135E" w:rsidRDefault="00C53DEA" w:rsidP="007330C5">
            <w:pPr>
              <w:rPr>
                <w:sz w:val="18"/>
                <w:szCs w:val="18"/>
                <w:lang w:val="en-US"/>
              </w:rPr>
            </w:pPr>
            <w:r>
              <w:rPr>
                <w:sz w:val="18"/>
                <w:szCs w:val="18"/>
                <w:lang w:val="en-US"/>
              </w:rPr>
              <w:t xml:space="preserve">Models backwards design through forcing </w:t>
            </w:r>
            <w:r w:rsidRPr="00AA135E">
              <w:rPr>
                <w:sz w:val="18"/>
                <w:szCs w:val="18"/>
                <w:lang w:val="en-US"/>
              </w:rPr>
              <w:t xml:space="preserve">unit designers to physically align unit elements </w:t>
            </w:r>
          </w:p>
        </w:tc>
        <w:tc>
          <w:tcPr>
            <w:tcW w:w="2374" w:type="dxa"/>
          </w:tcPr>
          <w:p w:rsidR="00C53DEA" w:rsidRPr="00AA135E" w:rsidRDefault="00C53DEA" w:rsidP="007330C5">
            <w:pPr>
              <w:rPr>
                <w:sz w:val="18"/>
                <w:szCs w:val="18"/>
                <w:lang w:val="en-US"/>
              </w:rPr>
            </w:pPr>
            <w:r w:rsidRPr="00AA135E">
              <w:rPr>
                <w:sz w:val="18"/>
                <w:szCs w:val="18"/>
                <w:lang w:val="en-US"/>
              </w:rPr>
              <w:t>Makes constructive alignment and its relationship to criterion referenced assessment visible</w:t>
            </w:r>
          </w:p>
          <w:p w:rsidR="00C53DEA" w:rsidRPr="00AA135E" w:rsidRDefault="00C53DEA" w:rsidP="007330C5">
            <w:pPr>
              <w:rPr>
                <w:sz w:val="18"/>
                <w:szCs w:val="18"/>
                <w:lang w:val="en-US"/>
              </w:rPr>
            </w:pPr>
          </w:p>
        </w:tc>
        <w:tc>
          <w:tcPr>
            <w:tcW w:w="2375" w:type="dxa"/>
          </w:tcPr>
          <w:p w:rsidR="00C53DEA" w:rsidRPr="00AA135E" w:rsidRDefault="00C53DEA" w:rsidP="007330C5">
            <w:pPr>
              <w:rPr>
                <w:sz w:val="18"/>
                <w:szCs w:val="18"/>
                <w:lang w:val="en-US"/>
              </w:rPr>
            </w:pPr>
            <w:r w:rsidRPr="00AA135E">
              <w:rPr>
                <w:sz w:val="18"/>
                <w:szCs w:val="18"/>
                <w:lang w:val="en-US"/>
              </w:rPr>
              <w:t>Enables unit designers to work to tight deadlines</w:t>
            </w:r>
            <w:r>
              <w:rPr>
                <w:sz w:val="18"/>
                <w:szCs w:val="18"/>
                <w:lang w:val="en-US"/>
              </w:rPr>
              <w:t xml:space="preserve"> through provision of </w:t>
            </w:r>
            <w:r w:rsidRPr="00AA135E">
              <w:rPr>
                <w:sz w:val="18"/>
                <w:szCs w:val="18"/>
                <w:lang w:val="en-US"/>
              </w:rPr>
              <w:t>criteria to self-evaluate their design</w:t>
            </w:r>
          </w:p>
          <w:p w:rsidR="00C53DEA" w:rsidRPr="00AA135E" w:rsidRDefault="00C53DEA" w:rsidP="007330C5">
            <w:pPr>
              <w:rPr>
                <w:sz w:val="18"/>
                <w:szCs w:val="18"/>
                <w:lang w:val="en-US"/>
              </w:rPr>
            </w:pPr>
          </w:p>
        </w:tc>
      </w:tr>
      <w:tr w:rsidR="00C53DEA" w:rsidTr="007330C5">
        <w:tc>
          <w:tcPr>
            <w:tcW w:w="1803" w:type="dxa"/>
          </w:tcPr>
          <w:p w:rsidR="00C53DEA" w:rsidRPr="008C4A72" w:rsidRDefault="00C53DEA" w:rsidP="007330C5">
            <w:pPr>
              <w:rPr>
                <w:b/>
                <w:bCs/>
                <w:sz w:val="18"/>
                <w:szCs w:val="18"/>
                <w:lang w:val="en-US"/>
              </w:rPr>
            </w:pPr>
            <w:r w:rsidRPr="008C4A72">
              <w:rPr>
                <w:b/>
                <w:bCs/>
                <w:sz w:val="18"/>
                <w:szCs w:val="18"/>
                <w:lang w:val="en-US"/>
              </w:rPr>
              <w:t>Blended Learning</w:t>
            </w:r>
          </w:p>
          <w:p w:rsidR="00C53DEA" w:rsidRPr="008C4A72" w:rsidRDefault="00C53DEA" w:rsidP="007330C5">
            <w:pPr>
              <w:rPr>
                <w:b/>
                <w:bCs/>
                <w:sz w:val="18"/>
                <w:szCs w:val="18"/>
              </w:rPr>
            </w:pPr>
          </w:p>
        </w:tc>
        <w:tc>
          <w:tcPr>
            <w:tcW w:w="2374" w:type="dxa"/>
          </w:tcPr>
          <w:p w:rsidR="00C53DEA" w:rsidRPr="004970A0" w:rsidRDefault="00C53DEA" w:rsidP="007330C5">
            <w:pPr>
              <w:rPr>
                <w:sz w:val="18"/>
                <w:szCs w:val="18"/>
                <w:lang w:val="en-US"/>
              </w:rPr>
            </w:pPr>
            <w:r>
              <w:rPr>
                <w:sz w:val="18"/>
                <w:szCs w:val="18"/>
                <w:lang w:val="en-US"/>
              </w:rPr>
              <w:t>E</w:t>
            </w:r>
            <w:r w:rsidRPr="004970A0">
              <w:rPr>
                <w:sz w:val="18"/>
                <w:szCs w:val="18"/>
                <w:lang w:val="en-US"/>
              </w:rPr>
              <w:t>nables academics to document how they would ideally facilitate and assess the unit and use this as the basis for selecting appropriate online technologies</w:t>
            </w:r>
          </w:p>
        </w:tc>
        <w:tc>
          <w:tcPr>
            <w:tcW w:w="2374" w:type="dxa"/>
          </w:tcPr>
          <w:p w:rsidR="00C53DEA" w:rsidRPr="004970A0" w:rsidRDefault="00C53DEA" w:rsidP="007330C5">
            <w:pPr>
              <w:rPr>
                <w:sz w:val="18"/>
                <w:szCs w:val="18"/>
                <w:lang w:val="en-US"/>
              </w:rPr>
            </w:pPr>
            <w:r w:rsidRPr="004970A0">
              <w:rPr>
                <w:sz w:val="18"/>
                <w:szCs w:val="18"/>
                <w:lang w:val="en-US"/>
              </w:rPr>
              <w:t>Focuses academics attention on enabling blended learning through adapting assessment design and/or sequencing of learning activities and instruction</w:t>
            </w:r>
          </w:p>
          <w:p w:rsidR="00C53DEA" w:rsidRPr="004970A0" w:rsidRDefault="00C53DEA" w:rsidP="007330C5">
            <w:pPr>
              <w:rPr>
                <w:sz w:val="18"/>
                <w:szCs w:val="18"/>
                <w:lang w:val="en-US"/>
              </w:rPr>
            </w:pPr>
          </w:p>
        </w:tc>
        <w:tc>
          <w:tcPr>
            <w:tcW w:w="2375" w:type="dxa"/>
          </w:tcPr>
          <w:p w:rsidR="00C53DEA" w:rsidRPr="004970A0" w:rsidRDefault="00C53DEA" w:rsidP="007330C5">
            <w:pPr>
              <w:rPr>
                <w:sz w:val="18"/>
                <w:szCs w:val="18"/>
                <w:lang w:val="en-US"/>
              </w:rPr>
            </w:pPr>
            <w:r>
              <w:rPr>
                <w:sz w:val="18"/>
                <w:szCs w:val="18"/>
                <w:lang w:val="en-US"/>
              </w:rPr>
              <w:t xml:space="preserve">Discourages </w:t>
            </w:r>
            <w:r w:rsidRPr="004970A0">
              <w:rPr>
                <w:sz w:val="18"/>
                <w:szCs w:val="18"/>
                <w:lang w:val="en-US"/>
              </w:rPr>
              <w:t>a technology first approach where technologies are selected on their appeal separate to their capacity to enable students to achieve stated learning outcomes</w:t>
            </w:r>
          </w:p>
          <w:p w:rsidR="00C53DEA" w:rsidRPr="004970A0" w:rsidRDefault="00C53DEA" w:rsidP="007330C5">
            <w:pPr>
              <w:rPr>
                <w:sz w:val="18"/>
                <w:szCs w:val="18"/>
                <w:lang w:val="en-US"/>
              </w:rPr>
            </w:pPr>
          </w:p>
        </w:tc>
      </w:tr>
      <w:tr w:rsidR="00C53DEA" w:rsidTr="007330C5">
        <w:tc>
          <w:tcPr>
            <w:tcW w:w="1803" w:type="dxa"/>
          </w:tcPr>
          <w:p w:rsidR="00C53DEA" w:rsidRPr="008C4A72" w:rsidRDefault="00C53DEA" w:rsidP="007330C5">
            <w:pPr>
              <w:rPr>
                <w:b/>
                <w:bCs/>
                <w:sz w:val="18"/>
                <w:szCs w:val="18"/>
                <w:lang w:val="en-US"/>
              </w:rPr>
            </w:pPr>
            <w:r w:rsidRPr="008C4A72">
              <w:rPr>
                <w:b/>
                <w:bCs/>
                <w:sz w:val="18"/>
                <w:szCs w:val="18"/>
                <w:lang w:val="en-US"/>
              </w:rPr>
              <w:t>Course Level Curriculum Mapping</w:t>
            </w:r>
          </w:p>
          <w:p w:rsidR="00C53DEA" w:rsidRPr="008C4A72" w:rsidRDefault="00C53DEA" w:rsidP="007330C5">
            <w:pPr>
              <w:rPr>
                <w:b/>
                <w:bCs/>
                <w:sz w:val="18"/>
                <w:szCs w:val="18"/>
              </w:rPr>
            </w:pPr>
          </w:p>
        </w:tc>
        <w:tc>
          <w:tcPr>
            <w:tcW w:w="2374" w:type="dxa"/>
          </w:tcPr>
          <w:p w:rsidR="00C53DEA" w:rsidRDefault="00C53DEA" w:rsidP="007330C5">
            <w:pPr>
              <w:rPr>
                <w:sz w:val="18"/>
                <w:szCs w:val="18"/>
              </w:rPr>
            </w:pPr>
            <w:r>
              <w:rPr>
                <w:sz w:val="18"/>
                <w:szCs w:val="18"/>
              </w:rPr>
              <w:t xml:space="preserve">Retrospective mapping exercises </w:t>
            </w:r>
            <w:r w:rsidRPr="00FD16BE">
              <w:rPr>
                <w:i/>
                <w:iCs/>
                <w:sz w:val="18"/>
                <w:szCs w:val="18"/>
              </w:rPr>
              <w:t>(often conducted by a small subset of academics)</w:t>
            </w:r>
            <w:r>
              <w:rPr>
                <w:sz w:val="18"/>
                <w:szCs w:val="18"/>
              </w:rPr>
              <w:t xml:space="preserve"> can be validated by the production of learning designs </w:t>
            </w:r>
            <w:r w:rsidRPr="00FD16BE">
              <w:rPr>
                <w:i/>
                <w:iCs/>
                <w:sz w:val="18"/>
                <w:szCs w:val="18"/>
              </w:rPr>
              <w:t>(produced by the relevant unit coordinators)</w:t>
            </w:r>
            <w:r>
              <w:rPr>
                <w:sz w:val="18"/>
                <w:szCs w:val="18"/>
              </w:rPr>
              <w:t xml:space="preserve"> which present a unit on a single A3 sheet of paper</w:t>
            </w:r>
          </w:p>
          <w:p w:rsidR="00C53DEA" w:rsidRPr="008C4A72" w:rsidRDefault="00C53DEA" w:rsidP="007330C5">
            <w:pPr>
              <w:rPr>
                <w:sz w:val="18"/>
                <w:szCs w:val="18"/>
              </w:rPr>
            </w:pPr>
          </w:p>
        </w:tc>
        <w:tc>
          <w:tcPr>
            <w:tcW w:w="2374" w:type="dxa"/>
          </w:tcPr>
          <w:p w:rsidR="00C53DEA" w:rsidRPr="008C4A72" w:rsidRDefault="00C53DEA" w:rsidP="007330C5">
            <w:pPr>
              <w:rPr>
                <w:sz w:val="18"/>
                <w:szCs w:val="18"/>
              </w:rPr>
            </w:pPr>
            <w:r>
              <w:rPr>
                <w:sz w:val="18"/>
                <w:szCs w:val="18"/>
              </w:rPr>
              <w:t>Enables a shift of course level curriculum mapping from a retrospective exercise to one where the curriculum map is a critical stage of design and a live document from thereafter</w:t>
            </w:r>
          </w:p>
        </w:tc>
        <w:tc>
          <w:tcPr>
            <w:tcW w:w="2375" w:type="dxa"/>
          </w:tcPr>
          <w:p w:rsidR="00C53DEA" w:rsidRPr="008C4A72" w:rsidRDefault="00C53DEA" w:rsidP="007330C5">
            <w:pPr>
              <w:rPr>
                <w:sz w:val="18"/>
                <w:szCs w:val="18"/>
              </w:rPr>
            </w:pPr>
            <w:r>
              <w:rPr>
                <w:sz w:val="18"/>
                <w:szCs w:val="18"/>
              </w:rPr>
              <w:t>The diagrammatic system presentation of unit level curriculum provide teaching teams with the capacity to collaboratively conduct curriculum review through laying multiple learning designs on a table</w:t>
            </w:r>
          </w:p>
        </w:tc>
      </w:tr>
      <w:tr w:rsidR="00C53DEA" w:rsidTr="007330C5">
        <w:tc>
          <w:tcPr>
            <w:tcW w:w="1803" w:type="dxa"/>
          </w:tcPr>
          <w:p w:rsidR="00C53DEA" w:rsidRPr="008C4A72" w:rsidRDefault="00C53DEA" w:rsidP="007330C5">
            <w:pPr>
              <w:rPr>
                <w:b/>
                <w:bCs/>
                <w:sz w:val="18"/>
                <w:szCs w:val="18"/>
                <w:lang w:val="en-US"/>
              </w:rPr>
            </w:pPr>
            <w:r w:rsidRPr="008C4A72">
              <w:rPr>
                <w:b/>
                <w:bCs/>
                <w:sz w:val="18"/>
                <w:szCs w:val="18"/>
                <w:lang w:val="en-US"/>
              </w:rPr>
              <w:t>Peer Review</w:t>
            </w:r>
          </w:p>
          <w:p w:rsidR="00C53DEA" w:rsidRPr="008C4A72" w:rsidRDefault="00C53DEA" w:rsidP="007330C5">
            <w:pPr>
              <w:rPr>
                <w:b/>
                <w:bCs/>
                <w:sz w:val="18"/>
                <w:szCs w:val="18"/>
              </w:rPr>
            </w:pPr>
          </w:p>
        </w:tc>
        <w:tc>
          <w:tcPr>
            <w:tcW w:w="2374" w:type="dxa"/>
          </w:tcPr>
          <w:p w:rsidR="00C53DEA" w:rsidRPr="00A217B6" w:rsidRDefault="00C53DEA" w:rsidP="007330C5">
            <w:pPr>
              <w:rPr>
                <w:sz w:val="18"/>
                <w:szCs w:val="18"/>
                <w:lang w:val="en-US"/>
              </w:rPr>
            </w:pPr>
            <w:r>
              <w:rPr>
                <w:sz w:val="18"/>
                <w:szCs w:val="18"/>
                <w:lang w:val="en-US"/>
              </w:rPr>
              <w:t>Feedback can be considered in-situ through editing the source design and interrogating the relationships between course and/or unit elements</w:t>
            </w:r>
          </w:p>
          <w:p w:rsidR="00C53DEA" w:rsidRPr="00A217B6" w:rsidRDefault="00C53DEA" w:rsidP="007330C5">
            <w:pPr>
              <w:rPr>
                <w:sz w:val="18"/>
                <w:szCs w:val="18"/>
                <w:lang w:val="en-US"/>
              </w:rPr>
            </w:pPr>
          </w:p>
        </w:tc>
        <w:tc>
          <w:tcPr>
            <w:tcW w:w="2374" w:type="dxa"/>
          </w:tcPr>
          <w:p w:rsidR="00C53DEA" w:rsidRDefault="00C53DEA" w:rsidP="007330C5">
            <w:pPr>
              <w:rPr>
                <w:sz w:val="18"/>
                <w:szCs w:val="18"/>
                <w:lang w:val="en-US"/>
              </w:rPr>
            </w:pPr>
            <w:r>
              <w:rPr>
                <w:sz w:val="18"/>
                <w:szCs w:val="18"/>
                <w:lang w:val="en-US"/>
              </w:rPr>
              <w:t>Enables quick review and feedback through the diagrammatic presentation of curriculum and the design for teaching</w:t>
            </w:r>
          </w:p>
          <w:p w:rsidR="00C53DEA" w:rsidRPr="00A217B6" w:rsidRDefault="00C53DEA" w:rsidP="007330C5">
            <w:pPr>
              <w:rPr>
                <w:sz w:val="18"/>
                <w:szCs w:val="18"/>
                <w:lang w:val="en-US"/>
              </w:rPr>
            </w:pPr>
          </w:p>
        </w:tc>
        <w:tc>
          <w:tcPr>
            <w:tcW w:w="2375" w:type="dxa"/>
          </w:tcPr>
          <w:p w:rsidR="00C53DEA" w:rsidRPr="00A217B6" w:rsidRDefault="00C53DEA" w:rsidP="007330C5">
            <w:pPr>
              <w:rPr>
                <w:sz w:val="18"/>
                <w:szCs w:val="18"/>
                <w:lang w:val="en-US"/>
              </w:rPr>
            </w:pPr>
            <w:r>
              <w:rPr>
                <w:sz w:val="18"/>
                <w:szCs w:val="18"/>
                <w:lang w:val="en-US"/>
              </w:rPr>
              <w:t xml:space="preserve">Standard design tools enable course/unit designers to solicit prompt feedback </w:t>
            </w:r>
            <w:r w:rsidRPr="00A217B6">
              <w:rPr>
                <w:sz w:val="18"/>
                <w:szCs w:val="18"/>
                <w:lang w:val="en-US"/>
              </w:rPr>
              <w:t>from people performing varied roles, e.g. course coordinator, colleague, educational technol</w:t>
            </w:r>
            <w:r w:rsidR="00EC551E">
              <w:rPr>
                <w:sz w:val="18"/>
                <w:szCs w:val="18"/>
                <w:lang w:val="en-US"/>
              </w:rPr>
              <w:t xml:space="preserve">ogist, academic developer, </w:t>
            </w:r>
            <w:proofErr w:type="spellStart"/>
            <w:r w:rsidR="00EC551E">
              <w:rPr>
                <w:sz w:val="18"/>
                <w:szCs w:val="18"/>
                <w:lang w:val="en-US"/>
              </w:rPr>
              <w:t>etc</w:t>
            </w:r>
            <w:proofErr w:type="spellEnd"/>
          </w:p>
          <w:p w:rsidR="00C53DEA" w:rsidRPr="00A217B6" w:rsidRDefault="00C53DEA" w:rsidP="007330C5">
            <w:pPr>
              <w:rPr>
                <w:sz w:val="18"/>
                <w:szCs w:val="18"/>
                <w:lang w:val="en-US"/>
              </w:rPr>
            </w:pPr>
          </w:p>
        </w:tc>
      </w:tr>
      <w:tr w:rsidR="00C53DEA" w:rsidTr="007330C5">
        <w:tc>
          <w:tcPr>
            <w:tcW w:w="1803" w:type="dxa"/>
          </w:tcPr>
          <w:p w:rsidR="00C53DEA" w:rsidRPr="008C4A72" w:rsidRDefault="00C53DEA" w:rsidP="007330C5">
            <w:pPr>
              <w:rPr>
                <w:b/>
                <w:bCs/>
                <w:sz w:val="18"/>
                <w:szCs w:val="18"/>
                <w:lang w:val="en-US"/>
              </w:rPr>
            </w:pPr>
            <w:r w:rsidRPr="008C4A72">
              <w:rPr>
                <w:b/>
                <w:bCs/>
                <w:sz w:val="18"/>
                <w:szCs w:val="18"/>
                <w:lang w:val="en-US"/>
              </w:rPr>
              <w:t>Teaching efficiency</w:t>
            </w:r>
          </w:p>
          <w:p w:rsidR="00C53DEA" w:rsidRPr="008C4A72" w:rsidRDefault="00C53DEA" w:rsidP="007330C5">
            <w:pPr>
              <w:rPr>
                <w:b/>
                <w:bCs/>
                <w:sz w:val="18"/>
                <w:szCs w:val="18"/>
              </w:rPr>
            </w:pPr>
          </w:p>
        </w:tc>
        <w:tc>
          <w:tcPr>
            <w:tcW w:w="2374" w:type="dxa"/>
          </w:tcPr>
          <w:p w:rsidR="00C53DEA" w:rsidRPr="005A4B94" w:rsidRDefault="00C53DEA" w:rsidP="007330C5">
            <w:pPr>
              <w:rPr>
                <w:sz w:val="18"/>
                <w:szCs w:val="18"/>
              </w:rPr>
            </w:pPr>
            <w:r w:rsidRPr="005A4B94">
              <w:rPr>
                <w:sz w:val="18"/>
                <w:szCs w:val="18"/>
              </w:rPr>
              <w:t>Diagrammatic presentation of course and unit design enables the relationships between learning outcomes, assessment and instruction to be considered in terms of relevance, frequency and</w:t>
            </w:r>
            <w:r w:rsidR="005C0FA3">
              <w:rPr>
                <w:sz w:val="18"/>
                <w:szCs w:val="18"/>
              </w:rPr>
              <w:t xml:space="preserve"> volume</w:t>
            </w:r>
            <w:r>
              <w:rPr>
                <w:sz w:val="18"/>
                <w:szCs w:val="18"/>
              </w:rPr>
              <w:br/>
            </w:r>
          </w:p>
        </w:tc>
        <w:tc>
          <w:tcPr>
            <w:tcW w:w="2374" w:type="dxa"/>
          </w:tcPr>
          <w:p w:rsidR="00C53DEA" w:rsidRPr="00C1708A" w:rsidRDefault="00C53DEA" w:rsidP="007330C5">
            <w:pPr>
              <w:rPr>
                <w:sz w:val="18"/>
                <w:szCs w:val="18"/>
                <w:lang w:val="en-US"/>
              </w:rPr>
            </w:pPr>
            <w:r w:rsidRPr="00C1708A">
              <w:rPr>
                <w:sz w:val="18"/>
                <w:szCs w:val="18"/>
                <w:lang w:val="en-US"/>
              </w:rPr>
              <w:t xml:space="preserve">The system view of a unit enables designers and reviewers to easily consider human and physical resource implications for </w:t>
            </w:r>
            <w:r w:rsidR="005C0FA3">
              <w:rPr>
                <w:sz w:val="18"/>
                <w:szCs w:val="18"/>
                <w:lang w:val="en-US"/>
              </w:rPr>
              <w:t>the teaching and assessment</w:t>
            </w:r>
          </w:p>
          <w:p w:rsidR="00C53DEA" w:rsidRPr="00357768" w:rsidRDefault="00C53DEA" w:rsidP="007330C5">
            <w:pPr>
              <w:rPr>
                <w:sz w:val="18"/>
                <w:szCs w:val="18"/>
                <w:highlight w:val="yellow"/>
                <w:lang w:val="en-US"/>
              </w:rPr>
            </w:pPr>
          </w:p>
        </w:tc>
        <w:tc>
          <w:tcPr>
            <w:tcW w:w="2375" w:type="dxa"/>
          </w:tcPr>
          <w:p w:rsidR="00C53DEA" w:rsidRPr="00357768" w:rsidRDefault="00C53DEA" w:rsidP="007330C5">
            <w:pPr>
              <w:rPr>
                <w:sz w:val="18"/>
                <w:szCs w:val="18"/>
                <w:highlight w:val="yellow"/>
                <w:lang w:val="en-US"/>
              </w:rPr>
            </w:pPr>
            <w:r w:rsidRPr="00800146">
              <w:rPr>
                <w:sz w:val="18"/>
                <w:szCs w:val="18"/>
                <w:lang w:val="en-US"/>
              </w:rPr>
              <w:t>Enables teaching teams to collaboratively consider and document teaching responsibilities based on strengths, interests and b</w:t>
            </w:r>
            <w:r w:rsidR="005C0FA3">
              <w:rPr>
                <w:sz w:val="18"/>
                <w:szCs w:val="18"/>
                <w:lang w:val="en-US"/>
              </w:rPr>
              <w:t>roader workload considerations</w:t>
            </w:r>
          </w:p>
        </w:tc>
      </w:tr>
      <w:tr w:rsidR="00C53DEA" w:rsidTr="007330C5">
        <w:tc>
          <w:tcPr>
            <w:tcW w:w="1803" w:type="dxa"/>
          </w:tcPr>
          <w:p w:rsidR="00C53DEA" w:rsidRPr="008C4A72" w:rsidRDefault="00C53DEA" w:rsidP="007330C5">
            <w:pPr>
              <w:rPr>
                <w:b/>
                <w:bCs/>
                <w:sz w:val="18"/>
                <w:szCs w:val="18"/>
                <w:lang w:val="en-US"/>
              </w:rPr>
            </w:pPr>
            <w:r w:rsidRPr="008C4A72">
              <w:rPr>
                <w:b/>
                <w:bCs/>
                <w:sz w:val="18"/>
                <w:szCs w:val="18"/>
                <w:lang w:val="en-US"/>
              </w:rPr>
              <w:t>Annual Course and Unit Evaluation</w:t>
            </w:r>
          </w:p>
          <w:p w:rsidR="00C53DEA" w:rsidRPr="008C4A72" w:rsidRDefault="00C53DEA" w:rsidP="007330C5">
            <w:pPr>
              <w:rPr>
                <w:b/>
                <w:bCs/>
                <w:sz w:val="18"/>
                <w:szCs w:val="18"/>
              </w:rPr>
            </w:pPr>
          </w:p>
        </w:tc>
        <w:tc>
          <w:tcPr>
            <w:tcW w:w="2374" w:type="dxa"/>
          </w:tcPr>
          <w:p w:rsidR="00C53DEA" w:rsidRPr="008C4A72" w:rsidRDefault="00C53DEA" w:rsidP="007330C5">
            <w:pPr>
              <w:rPr>
                <w:sz w:val="18"/>
                <w:szCs w:val="18"/>
              </w:rPr>
            </w:pPr>
            <w:r>
              <w:rPr>
                <w:sz w:val="18"/>
                <w:szCs w:val="18"/>
              </w:rPr>
              <w:t>Provides course and unit coordinators with succinct diagrammatic representations of curriculum and teaching that can be easily evaluated</w:t>
            </w:r>
            <w:r>
              <w:rPr>
                <w:sz w:val="18"/>
                <w:szCs w:val="18"/>
              </w:rPr>
              <w:br/>
            </w:r>
          </w:p>
        </w:tc>
        <w:tc>
          <w:tcPr>
            <w:tcW w:w="2374" w:type="dxa"/>
          </w:tcPr>
          <w:p w:rsidR="00C53DEA" w:rsidRPr="008C4A72" w:rsidRDefault="00C53DEA" w:rsidP="007330C5">
            <w:pPr>
              <w:rPr>
                <w:sz w:val="18"/>
                <w:szCs w:val="18"/>
              </w:rPr>
            </w:pPr>
            <w:r>
              <w:rPr>
                <w:sz w:val="18"/>
                <w:szCs w:val="18"/>
              </w:rPr>
              <w:t xml:space="preserve">Provides capacity for evaluation to be informed by a balance of performance related data and critical review of the curriculum as a </w:t>
            </w:r>
            <w:r w:rsidR="00EC551E">
              <w:rPr>
                <w:sz w:val="18"/>
                <w:szCs w:val="18"/>
              </w:rPr>
              <w:t>system</w:t>
            </w:r>
          </w:p>
        </w:tc>
        <w:tc>
          <w:tcPr>
            <w:tcW w:w="2375" w:type="dxa"/>
          </w:tcPr>
          <w:p w:rsidR="00C53DEA" w:rsidRPr="008C4A72" w:rsidRDefault="00C53DEA" w:rsidP="007330C5">
            <w:pPr>
              <w:rPr>
                <w:sz w:val="18"/>
                <w:szCs w:val="18"/>
              </w:rPr>
            </w:pPr>
            <w:r>
              <w:rPr>
                <w:sz w:val="18"/>
                <w:szCs w:val="18"/>
              </w:rPr>
              <w:t>Enables proposed design changes to be made to working design documents whereby curriculum renewal resource implications can be considered at the time of eval</w:t>
            </w:r>
            <w:r w:rsidR="00EC551E">
              <w:rPr>
                <w:sz w:val="18"/>
                <w:szCs w:val="18"/>
              </w:rPr>
              <w:t>uation</w:t>
            </w:r>
            <w:r>
              <w:rPr>
                <w:sz w:val="18"/>
                <w:szCs w:val="18"/>
              </w:rPr>
              <w:br/>
            </w:r>
          </w:p>
        </w:tc>
      </w:tr>
      <w:tr w:rsidR="00C53DEA" w:rsidTr="007330C5">
        <w:tc>
          <w:tcPr>
            <w:tcW w:w="1803" w:type="dxa"/>
          </w:tcPr>
          <w:p w:rsidR="00C53DEA" w:rsidRPr="008C4A72" w:rsidRDefault="00C53DEA" w:rsidP="007330C5">
            <w:pPr>
              <w:rPr>
                <w:b/>
                <w:bCs/>
                <w:sz w:val="18"/>
                <w:szCs w:val="18"/>
                <w:lang w:val="en-US"/>
              </w:rPr>
            </w:pPr>
            <w:r w:rsidRPr="008C4A72">
              <w:rPr>
                <w:b/>
                <w:bCs/>
                <w:sz w:val="18"/>
                <w:szCs w:val="18"/>
                <w:lang w:val="en-US"/>
              </w:rPr>
              <w:t>Course and Unit Approval process</w:t>
            </w:r>
          </w:p>
          <w:p w:rsidR="00C53DEA" w:rsidRPr="008C4A72" w:rsidRDefault="00C53DEA" w:rsidP="007330C5">
            <w:pPr>
              <w:rPr>
                <w:b/>
                <w:bCs/>
                <w:sz w:val="18"/>
                <w:szCs w:val="18"/>
                <w:lang w:val="en-US"/>
              </w:rPr>
            </w:pPr>
          </w:p>
        </w:tc>
        <w:tc>
          <w:tcPr>
            <w:tcW w:w="2374" w:type="dxa"/>
          </w:tcPr>
          <w:p w:rsidR="00C53DEA" w:rsidRPr="008C4A72" w:rsidRDefault="00C53DEA" w:rsidP="007330C5">
            <w:pPr>
              <w:rPr>
                <w:sz w:val="18"/>
                <w:szCs w:val="18"/>
              </w:rPr>
            </w:pPr>
            <w:r>
              <w:rPr>
                <w:sz w:val="18"/>
                <w:szCs w:val="18"/>
              </w:rPr>
              <w:t>Design is cyclic, considering the detail of unit level design for course approval often informs changes to the CLO’s, more likely to get the course design right from the outset</w:t>
            </w:r>
          </w:p>
        </w:tc>
        <w:tc>
          <w:tcPr>
            <w:tcW w:w="2374" w:type="dxa"/>
          </w:tcPr>
          <w:p w:rsidR="00C53DEA" w:rsidRPr="008C4A72" w:rsidRDefault="00C53DEA" w:rsidP="007330C5">
            <w:pPr>
              <w:rPr>
                <w:sz w:val="18"/>
                <w:szCs w:val="18"/>
              </w:rPr>
            </w:pPr>
            <w:r>
              <w:rPr>
                <w:sz w:val="18"/>
                <w:szCs w:val="18"/>
              </w:rPr>
              <w:t>Through design expectations being explicit, there is greater capacity for course and unit designers to work within tight deadlines as they will have greater confidence that their work will be endorsed in relation</w:t>
            </w:r>
            <w:r w:rsidR="00EC551E">
              <w:rPr>
                <w:sz w:val="18"/>
                <w:szCs w:val="18"/>
              </w:rPr>
              <w:t xml:space="preserve"> to its quality</w:t>
            </w:r>
          </w:p>
        </w:tc>
        <w:tc>
          <w:tcPr>
            <w:tcW w:w="2375" w:type="dxa"/>
          </w:tcPr>
          <w:p w:rsidR="00C53DEA" w:rsidRPr="008C4A72" w:rsidRDefault="00C53DEA" w:rsidP="007330C5">
            <w:pPr>
              <w:rPr>
                <w:sz w:val="18"/>
                <w:szCs w:val="18"/>
              </w:rPr>
            </w:pPr>
            <w:r>
              <w:rPr>
                <w:sz w:val="18"/>
                <w:szCs w:val="18"/>
              </w:rPr>
              <w:t>Self-review tools provide approval committees with the capacity to require unit designers to self-regulate, thus enabling greater emphasis on quality enhancement considerations over quality assurance at the time of approval</w:t>
            </w:r>
            <w:r>
              <w:rPr>
                <w:sz w:val="18"/>
                <w:szCs w:val="18"/>
              </w:rPr>
              <w:br/>
            </w:r>
          </w:p>
        </w:tc>
      </w:tr>
      <w:tr w:rsidR="00C53DEA" w:rsidTr="007330C5">
        <w:tc>
          <w:tcPr>
            <w:tcW w:w="1803" w:type="dxa"/>
          </w:tcPr>
          <w:p w:rsidR="00C53DEA" w:rsidRPr="008C4A72" w:rsidRDefault="00C53DEA" w:rsidP="007330C5">
            <w:pPr>
              <w:rPr>
                <w:b/>
                <w:bCs/>
                <w:sz w:val="18"/>
                <w:szCs w:val="18"/>
                <w:lang w:val="en-US"/>
              </w:rPr>
            </w:pPr>
            <w:r w:rsidRPr="008C4A72">
              <w:rPr>
                <w:b/>
                <w:bCs/>
                <w:sz w:val="18"/>
                <w:szCs w:val="18"/>
                <w:lang w:val="en-US"/>
              </w:rPr>
              <w:t>Experiential Professional Development</w:t>
            </w:r>
          </w:p>
        </w:tc>
        <w:tc>
          <w:tcPr>
            <w:tcW w:w="2374" w:type="dxa"/>
          </w:tcPr>
          <w:p w:rsidR="00C53DEA" w:rsidRDefault="00C53DEA" w:rsidP="007330C5">
            <w:pPr>
              <w:rPr>
                <w:sz w:val="18"/>
                <w:szCs w:val="18"/>
                <w:lang w:val="en-US"/>
              </w:rPr>
            </w:pPr>
            <w:r>
              <w:rPr>
                <w:sz w:val="18"/>
                <w:szCs w:val="18"/>
                <w:lang w:val="en-US"/>
              </w:rPr>
              <w:t>Enables persons working within academic development roles to model a replicable process to academic staff in a timely manner when academics actually need to review and design</w:t>
            </w:r>
            <w:r w:rsidR="00EC551E">
              <w:rPr>
                <w:sz w:val="18"/>
                <w:szCs w:val="18"/>
                <w:lang w:val="en-US"/>
              </w:rPr>
              <w:t xml:space="preserve"> curriculum and their teaching</w:t>
            </w:r>
          </w:p>
          <w:p w:rsidR="00C53DEA" w:rsidRPr="002D00CC" w:rsidRDefault="00C53DEA" w:rsidP="007330C5">
            <w:pPr>
              <w:rPr>
                <w:sz w:val="18"/>
                <w:szCs w:val="18"/>
                <w:lang w:val="en-US"/>
              </w:rPr>
            </w:pPr>
          </w:p>
        </w:tc>
        <w:tc>
          <w:tcPr>
            <w:tcW w:w="2374" w:type="dxa"/>
          </w:tcPr>
          <w:p w:rsidR="00C53DEA" w:rsidRPr="002D00CC" w:rsidRDefault="00C53DEA" w:rsidP="007330C5">
            <w:pPr>
              <w:rPr>
                <w:sz w:val="18"/>
                <w:szCs w:val="18"/>
              </w:rPr>
            </w:pPr>
            <w:r w:rsidRPr="002D00CC">
              <w:rPr>
                <w:sz w:val="18"/>
                <w:szCs w:val="18"/>
                <w:lang w:val="en-US"/>
              </w:rPr>
              <w:t>Provides a means to conduct training needs analysis based on the requirements of the curriculum and design for teaching</w:t>
            </w:r>
          </w:p>
        </w:tc>
        <w:tc>
          <w:tcPr>
            <w:tcW w:w="2375" w:type="dxa"/>
          </w:tcPr>
          <w:p w:rsidR="00C53DEA" w:rsidRPr="002D00CC" w:rsidRDefault="00C53DEA" w:rsidP="007330C5">
            <w:pPr>
              <w:rPr>
                <w:sz w:val="18"/>
                <w:szCs w:val="18"/>
                <w:lang w:val="en-US"/>
              </w:rPr>
            </w:pPr>
            <w:r w:rsidRPr="002D00CC">
              <w:rPr>
                <w:sz w:val="18"/>
                <w:szCs w:val="18"/>
                <w:lang w:val="en-US"/>
              </w:rPr>
              <w:t>As a series of replicable processes, academics can support colleagues to re-apply these in their practice</w:t>
            </w:r>
          </w:p>
          <w:p w:rsidR="00C53DEA" w:rsidRPr="002D00CC" w:rsidRDefault="00C53DEA" w:rsidP="007330C5">
            <w:pPr>
              <w:rPr>
                <w:sz w:val="18"/>
                <w:szCs w:val="18"/>
                <w:lang w:val="en-US"/>
              </w:rPr>
            </w:pPr>
          </w:p>
        </w:tc>
      </w:tr>
    </w:tbl>
    <w:p w:rsidR="009D06ED" w:rsidRPr="00C53DEA" w:rsidRDefault="009D06ED" w:rsidP="009D06ED">
      <w:pPr>
        <w:rPr>
          <w:i/>
          <w:iCs/>
        </w:rPr>
      </w:pPr>
    </w:p>
    <w:p w:rsidR="009D06ED" w:rsidRPr="00C53DEA" w:rsidRDefault="005A21FE" w:rsidP="009D06ED">
      <w:pPr>
        <w:rPr>
          <w:i/>
          <w:iCs/>
          <w:sz w:val="18"/>
          <w:szCs w:val="18"/>
          <w:lang w:val="en-US"/>
        </w:rPr>
      </w:pPr>
      <w:r w:rsidRPr="00C53DEA">
        <w:rPr>
          <w:b/>
          <w:bCs/>
          <w:i/>
          <w:iCs/>
          <w:sz w:val="18"/>
          <w:szCs w:val="18"/>
          <w:lang w:val="en-US"/>
        </w:rPr>
        <w:t>Acknowledgement</w:t>
      </w:r>
      <w:r w:rsidRPr="00C53DEA">
        <w:rPr>
          <w:i/>
          <w:iCs/>
          <w:sz w:val="18"/>
          <w:szCs w:val="18"/>
          <w:lang w:val="en-US"/>
        </w:rPr>
        <w:t xml:space="preserve"> </w:t>
      </w:r>
      <w:r w:rsidR="00C53DEA" w:rsidRPr="00C53DEA">
        <w:rPr>
          <w:i/>
          <w:iCs/>
          <w:sz w:val="18"/>
          <w:szCs w:val="18"/>
          <w:lang w:val="en-US"/>
        </w:rPr>
        <w:t>–</w:t>
      </w:r>
      <w:r w:rsidRPr="00C53DEA">
        <w:rPr>
          <w:i/>
          <w:iCs/>
          <w:sz w:val="18"/>
          <w:szCs w:val="18"/>
          <w:lang w:val="en-US"/>
        </w:rPr>
        <w:t xml:space="preserve"> </w:t>
      </w:r>
      <w:r w:rsidR="00C53DEA" w:rsidRPr="00C53DEA">
        <w:rPr>
          <w:i/>
          <w:iCs/>
          <w:sz w:val="18"/>
          <w:szCs w:val="18"/>
          <w:lang w:val="en-US"/>
        </w:rPr>
        <w:t xml:space="preserve">This section of the Curriculum White Paper has been produced using adapted extracts from the ‘Action and Implementation Plan for Blended Learning at AMC’ available at: </w:t>
      </w:r>
      <w:hyperlink r:id="rId10" w:history="1">
        <w:r w:rsidR="00C53DEA" w:rsidRPr="00C53DEA">
          <w:rPr>
            <w:rStyle w:val="Hyperlink"/>
            <w:i/>
            <w:iCs/>
            <w:sz w:val="18"/>
            <w:szCs w:val="18"/>
            <w:lang w:val="en-US"/>
          </w:rPr>
          <w:t>https://elibrary.utas.edu.au/lor/items/6bbdea88-270b-4aaf-8e03-5c7ac521e13b/1/</w:t>
        </w:r>
      </w:hyperlink>
      <w:r w:rsidR="00C53DEA" w:rsidRPr="00C53DEA">
        <w:rPr>
          <w:i/>
          <w:iCs/>
          <w:sz w:val="18"/>
          <w:szCs w:val="18"/>
          <w:lang w:val="en-US"/>
        </w:rPr>
        <w:t xml:space="preserve"> </w:t>
      </w:r>
    </w:p>
    <w:p w:rsidR="00C53DEA" w:rsidRDefault="00C53DEA" w:rsidP="009D06ED">
      <w:pPr>
        <w:rPr>
          <w:i/>
          <w:iCs/>
          <w:lang w:val="en-US"/>
        </w:rPr>
      </w:pPr>
    </w:p>
    <w:p w:rsidR="00177D93" w:rsidRDefault="00E327E6" w:rsidP="00C53DEA">
      <w:pPr>
        <w:pStyle w:val="Heading2"/>
      </w:pPr>
      <w:bookmarkStart w:id="0" w:name="_Toc433701435"/>
      <w:r>
        <w:t>References</w:t>
      </w:r>
      <w:bookmarkEnd w:id="0"/>
      <w:r w:rsidR="00177D93">
        <w:br/>
      </w:r>
    </w:p>
    <w:p w:rsidR="00177D93" w:rsidRPr="00177D93" w:rsidRDefault="00177D93" w:rsidP="00177D93">
      <w:pPr>
        <w:pStyle w:val="NormalWeb"/>
        <w:spacing w:before="0" w:beforeAutospacing="0" w:after="0" w:afterAutospacing="0"/>
        <w:ind w:left="720" w:hanging="720"/>
        <w:rPr>
          <w:rFonts w:asciiTheme="minorHAnsi" w:hAnsiTheme="minorHAnsi"/>
        </w:rPr>
      </w:pPr>
      <w:proofErr w:type="spellStart"/>
      <w:r w:rsidRPr="00177D93">
        <w:rPr>
          <w:rFonts w:asciiTheme="minorHAnsi" w:hAnsiTheme="minorHAnsi" w:cs="Arial"/>
          <w:color w:val="000000"/>
          <w:sz w:val="20"/>
          <w:szCs w:val="20"/>
        </w:rPr>
        <w:t>Ackoff</w:t>
      </w:r>
      <w:proofErr w:type="spellEnd"/>
      <w:r w:rsidRPr="00177D93">
        <w:rPr>
          <w:rFonts w:asciiTheme="minorHAnsi" w:hAnsiTheme="minorHAnsi" w:cs="Arial"/>
          <w:color w:val="000000"/>
          <w:sz w:val="20"/>
          <w:szCs w:val="20"/>
        </w:rPr>
        <w:t xml:space="preserve">, R. L., </w:t>
      </w:r>
      <w:proofErr w:type="spellStart"/>
      <w:r w:rsidRPr="00177D93">
        <w:rPr>
          <w:rFonts w:asciiTheme="minorHAnsi" w:hAnsiTheme="minorHAnsi" w:cs="Arial"/>
          <w:color w:val="000000"/>
          <w:sz w:val="20"/>
          <w:szCs w:val="20"/>
        </w:rPr>
        <w:t>Magidson</w:t>
      </w:r>
      <w:proofErr w:type="spellEnd"/>
      <w:r w:rsidRPr="00177D93">
        <w:rPr>
          <w:rFonts w:asciiTheme="minorHAnsi" w:hAnsiTheme="minorHAnsi" w:cs="Arial"/>
          <w:color w:val="000000"/>
          <w:sz w:val="20"/>
          <w:szCs w:val="20"/>
        </w:rPr>
        <w:t xml:space="preserve">, J., &amp; Addison, H. J. (2006). </w:t>
      </w:r>
      <w:r w:rsidRPr="00177D93">
        <w:rPr>
          <w:rFonts w:asciiTheme="minorHAnsi" w:hAnsiTheme="minorHAnsi" w:cs="Arial"/>
          <w:i/>
          <w:iCs/>
          <w:color w:val="000000"/>
          <w:sz w:val="20"/>
          <w:szCs w:val="20"/>
        </w:rPr>
        <w:t>Idealized design: creating an organization's future</w:t>
      </w:r>
      <w:r w:rsidRPr="00177D93">
        <w:rPr>
          <w:rFonts w:asciiTheme="minorHAnsi" w:hAnsiTheme="minorHAnsi" w:cs="Arial"/>
          <w:color w:val="000000"/>
          <w:sz w:val="20"/>
          <w:szCs w:val="20"/>
        </w:rPr>
        <w:t>. Upper Saddle River: Wharton School Pub.</w:t>
      </w:r>
    </w:p>
    <w:p w:rsidR="00177D93" w:rsidRPr="00177D93" w:rsidRDefault="00177D93" w:rsidP="00177D93">
      <w:pPr>
        <w:pStyle w:val="NormalWeb"/>
        <w:spacing w:before="0" w:beforeAutospacing="0" w:after="0" w:afterAutospacing="0"/>
        <w:ind w:left="720" w:hanging="720"/>
        <w:rPr>
          <w:rFonts w:asciiTheme="minorHAnsi" w:hAnsiTheme="minorHAnsi"/>
        </w:rPr>
      </w:pPr>
      <w:proofErr w:type="spellStart"/>
      <w:r w:rsidRPr="00177D93">
        <w:rPr>
          <w:rFonts w:asciiTheme="minorHAnsi" w:hAnsiTheme="minorHAnsi" w:cs="Arial"/>
          <w:color w:val="000000"/>
          <w:sz w:val="20"/>
          <w:szCs w:val="20"/>
        </w:rPr>
        <w:t>Agostinho</w:t>
      </w:r>
      <w:proofErr w:type="spellEnd"/>
      <w:r w:rsidRPr="00177D93">
        <w:rPr>
          <w:rFonts w:asciiTheme="minorHAnsi" w:hAnsiTheme="minorHAnsi" w:cs="Arial"/>
          <w:color w:val="000000"/>
          <w:sz w:val="20"/>
          <w:szCs w:val="20"/>
        </w:rPr>
        <w:t xml:space="preserve">, S., Bennett, S., Lockyer, L., &amp; Harper, B. (2011). The future of learning design. </w:t>
      </w:r>
      <w:r w:rsidRPr="00177D93">
        <w:rPr>
          <w:rFonts w:asciiTheme="minorHAnsi" w:hAnsiTheme="minorHAnsi" w:cs="Arial"/>
          <w:i/>
          <w:iCs/>
          <w:color w:val="000000"/>
          <w:sz w:val="20"/>
          <w:szCs w:val="20"/>
        </w:rPr>
        <w:t>Learning, Media and Technology, 36</w:t>
      </w:r>
      <w:r w:rsidRPr="00177D93">
        <w:rPr>
          <w:rFonts w:asciiTheme="minorHAnsi" w:hAnsiTheme="minorHAnsi" w:cs="Arial"/>
          <w:color w:val="000000"/>
          <w:sz w:val="20"/>
          <w:szCs w:val="20"/>
        </w:rPr>
        <w:t xml:space="preserve">(2), 97-99. </w:t>
      </w:r>
      <w:proofErr w:type="spellStart"/>
      <w:r w:rsidRPr="00177D93">
        <w:rPr>
          <w:rFonts w:asciiTheme="minorHAnsi" w:hAnsiTheme="minorHAnsi" w:cs="Arial"/>
          <w:color w:val="000000"/>
          <w:sz w:val="20"/>
          <w:szCs w:val="20"/>
        </w:rPr>
        <w:t>doi</w:t>
      </w:r>
      <w:proofErr w:type="spellEnd"/>
      <w:r w:rsidRPr="00177D93">
        <w:rPr>
          <w:rFonts w:asciiTheme="minorHAnsi" w:hAnsiTheme="minorHAnsi" w:cs="Arial"/>
          <w:color w:val="000000"/>
          <w:sz w:val="20"/>
          <w:szCs w:val="20"/>
        </w:rPr>
        <w:t>: 10.1080/17439884.2011.553619</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 xml:space="preserve">Bennett, S., Thomas, L., </w:t>
      </w:r>
      <w:proofErr w:type="spellStart"/>
      <w:r w:rsidRPr="00177D93">
        <w:rPr>
          <w:rFonts w:asciiTheme="minorHAnsi" w:hAnsiTheme="minorHAnsi" w:cs="Arial"/>
          <w:color w:val="000000"/>
          <w:sz w:val="20"/>
          <w:szCs w:val="20"/>
        </w:rPr>
        <w:t>Agostinho</w:t>
      </w:r>
      <w:proofErr w:type="spellEnd"/>
      <w:r w:rsidRPr="00177D93">
        <w:rPr>
          <w:rFonts w:asciiTheme="minorHAnsi" w:hAnsiTheme="minorHAnsi" w:cs="Arial"/>
          <w:color w:val="000000"/>
          <w:sz w:val="20"/>
          <w:szCs w:val="20"/>
        </w:rPr>
        <w:t xml:space="preserve">, S., Lockyer, L., Jones, J., &amp; Harper, B. (2011). Understanding the design context for Australian university teachers: implications for the future of learning design. </w:t>
      </w:r>
      <w:r w:rsidRPr="00177D93">
        <w:rPr>
          <w:rFonts w:asciiTheme="minorHAnsi" w:hAnsiTheme="minorHAnsi" w:cs="Arial"/>
          <w:i/>
          <w:iCs/>
          <w:color w:val="000000"/>
          <w:sz w:val="20"/>
          <w:szCs w:val="20"/>
        </w:rPr>
        <w:t>Learning, Media and Technology, 36</w:t>
      </w:r>
      <w:r w:rsidRPr="00177D93">
        <w:rPr>
          <w:rFonts w:asciiTheme="minorHAnsi" w:hAnsiTheme="minorHAnsi" w:cs="Arial"/>
          <w:color w:val="000000"/>
          <w:sz w:val="20"/>
          <w:szCs w:val="20"/>
        </w:rPr>
        <w:t>(2), 151-167.</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 xml:space="preserve">Biggs, J. (2014). Constructive alignment in university teaching. </w:t>
      </w:r>
      <w:r w:rsidRPr="00177D93">
        <w:rPr>
          <w:rFonts w:asciiTheme="minorHAnsi" w:hAnsiTheme="minorHAnsi" w:cs="Arial"/>
          <w:i/>
          <w:iCs/>
          <w:color w:val="000000"/>
          <w:sz w:val="20"/>
          <w:szCs w:val="20"/>
        </w:rPr>
        <w:t>HERDSA Review of Higher Education, 1</w:t>
      </w:r>
      <w:r w:rsidRPr="00177D93">
        <w:rPr>
          <w:rFonts w:asciiTheme="minorHAnsi" w:hAnsiTheme="minorHAnsi" w:cs="Arial"/>
          <w:color w:val="000000"/>
          <w:sz w:val="20"/>
          <w:szCs w:val="20"/>
        </w:rPr>
        <w:t>(1), 5-22.</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 xml:space="preserve">Brawley, S., Clark, J., Dixon, C., Ford, L., Ross, S., Upton, S., &amp; Nielsen, E. (2013). Learning outcomes assessment and History: TEQSA, the After Standards Project and the QA/QI challenge in Australia. </w:t>
      </w:r>
      <w:r w:rsidRPr="00177D93">
        <w:rPr>
          <w:rFonts w:asciiTheme="minorHAnsi" w:hAnsiTheme="minorHAnsi" w:cs="Arial"/>
          <w:i/>
          <w:iCs/>
          <w:color w:val="000000"/>
          <w:sz w:val="20"/>
          <w:szCs w:val="20"/>
        </w:rPr>
        <w:t>Arts and Humanities in Higher Education, 12</w:t>
      </w:r>
      <w:r w:rsidRPr="00177D93">
        <w:rPr>
          <w:rFonts w:asciiTheme="minorHAnsi" w:hAnsiTheme="minorHAnsi" w:cs="Arial"/>
          <w:color w:val="000000"/>
          <w:sz w:val="20"/>
          <w:szCs w:val="20"/>
        </w:rPr>
        <w:t xml:space="preserve">(1), 20-35. </w:t>
      </w:r>
      <w:proofErr w:type="spellStart"/>
      <w:r w:rsidRPr="00177D93">
        <w:rPr>
          <w:rFonts w:asciiTheme="minorHAnsi" w:hAnsiTheme="minorHAnsi" w:cs="Arial"/>
          <w:color w:val="000000"/>
          <w:sz w:val="20"/>
          <w:szCs w:val="20"/>
        </w:rPr>
        <w:t>doi</w:t>
      </w:r>
      <w:proofErr w:type="spellEnd"/>
      <w:r w:rsidRPr="00177D93">
        <w:rPr>
          <w:rFonts w:asciiTheme="minorHAnsi" w:hAnsiTheme="minorHAnsi" w:cs="Arial"/>
          <w:color w:val="000000"/>
          <w:sz w:val="20"/>
          <w:szCs w:val="20"/>
        </w:rPr>
        <w:t>: 10.1177/1474022212460745</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 xml:space="preserve">Collins, A. (1996). Design issues for learning environments. In S. </w:t>
      </w:r>
      <w:proofErr w:type="spellStart"/>
      <w:r w:rsidRPr="00177D93">
        <w:rPr>
          <w:rFonts w:asciiTheme="minorHAnsi" w:hAnsiTheme="minorHAnsi" w:cs="Arial"/>
          <w:color w:val="000000"/>
          <w:sz w:val="20"/>
          <w:szCs w:val="20"/>
        </w:rPr>
        <w:t>Vosniadou</w:t>
      </w:r>
      <w:proofErr w:type="spellEnd"/>
      <w:r w:rsidRPr="00177D93">
        <w:rPr>
          <w:rFonts w:asciiTheme="minorHAnsi" w:hAnsiTheme="minorHAnsi" w:cs="Arial"/>
          <w:color w:val="000000"/>
          <w:sz w:val="20"/>
          <w:szCs w:val="20"/>
        </w:rPr>
        <w:t xml:space="preserve"> (Ed.), </w:t>
      </w:r>
      <w:r w:rsidRPr="00177D93">
        <w:rPr>
          <w:rFonts w:asciiTheme="minorHAnsi" w:hAnsiTheme="minorHAnsi" w:cs="Arial"/>
          <w:i/>
          <w:iCs/>
          <w:color w:val="000000"/>
          <w:sz w:val="20"/>
          <w:szCs w:val="20"/>
        </w:rPr>
        <w:t>International perspectives on the design of technology-supported learning environments</w:t>
      </w:r>
      <w:r w:rsidRPr="00177D93">
        <w:rPr>
          <w:rFonts w:asciiTheme="minorHAnsi" w:hAnsiTheme="minorHAnsi" w:cs="Arial"/>
          <w:color w:val="000000"/>
          <w:sz w:val="20"/>
          <w:szCs w:val="20"/>
        </w:rPr>
        <w:t>. Mahwah, NJ: L. Erlbaum Associates.</w:t>
      </w:r>
    </w:p>
    <w:p w:rsidR="00177D93" w:rsidRPr="00177D93" w:rsidRDefault="00177D93" w:rsidP="00177D93">
      <w:pPr>
        <w:pStyle w:val="NormalWeb"/>
        <w:spacing w:before="0" w:beforeAutospacing="0" w:after="0" w:afterAutospacing="0"/>
        <w:ind w:left="720" w:hanging="720"/>
        <w:rPr>
          <w:rFonts w:asciiTheme="minorHAnsi" w:hAnsiTheme="minorHAnsi"/>
        </w:rPr>
      </w:pPr>
      <w:proofErr w:type="spellStart"/>
      <w:r w:rsidRPr="00177D93">
        <w:rPr>
          <w:rFonts w:asciiTheme="minorHAnsi" w:hAnsiTheme="minorHAnsi" w:cs="Arial"/>
          <w:color w:val="000000"/>
          <w:sz w:val="20"/>
          <w:szCs w:val="20"/>
        </w:rPr>
        <w:t>Conole</w:t>
      </w:r>
      <w:proofErr w:type="spellEnd"/>
      <w:r w:rsidRPr="00177D93">
        <w:rPr>
          <w:rFonts w:asciiTheme="minorHAnsi" w:hAnsiTheme="minorHAnsi" w:cs="Arial"/>
          <w:color w:val="000000"/>
          <w:sz w:val="20"/>
          <w:szCs w:val="20"/>
        </w:rPr>
        <w:t xml:space="preserve">, G. (2009). Capturing and representing practice. In A. Tait, M. Vidal, U. </w:t>
      </w:r>
      <w:proofErr w:type="spellStart"/>
      <w:r w:rsidRPr="00177D93">
        <w:rPr>
          <w:rFonts w:asciiTheme="minorHAnsi" w:hAnsiTheme="minorHAnsi" w:cs="Arial"/>
          <w:color w:val="000000"/>
          <w:sz w:val="20"/>
          <w:szCs w:val="20"/>
        </w:rPr>
        <w:t>Bernath</w:t>
      </w:r>
      <w:proofErr w:type="spellEnd"/>
      <w:r w:rsidRPr="00177D93">
        <w:rPr>
          <w:rFonts w:asciiTheme="minorHAnsi" w:hAnsiTheme="minorHAnsi" w:cs="Arial"/>
          <w:color w:val="000000"/>
          <w:sz w:val="20"/>
          <w:szCs w:val="20"/>
        </w:rPr>
        <w:t xml:space="preserve"> &amp; A. </w:t>
      </w:r>
      <w:proofErr w:type="spellStart"/>
      <w:r w:rsidRPr="00177D93">
        <w:rPr>
          <w:rFonts w:asciiTheme="minorHAnsi" w:hAnsiTheme="minorHAnsi" w:cs="Arial"/>
          <w:color w:val="000000"/>
          <w:sz w:val="20"/>
          <w:szCs w:val="20"/>
        </w:rPr>
        <w:t>Szucs</w:t>
      </w:r>
      <w:proofErr w:type="spellEnd"/>
      <w:r w:rsidRPr="00177D93">
        <w:rPr>
          <w:rFonts w:asciiTheme="minorHAnsi" w:hAnsiTheme="minorHAnsi" w:cs="Arial"/>
          <w:color w:val="000000"/>
          <w:sz w:val="20"/>
          <w:szCs w:val="20"/>
        </w:rPr>
        <w:t xml:space="preserve"> (Eds.), </w:t>
      </w:r>
      <w:r w:rsidRPr="00177D93">
        <w:rPr>
          <w:rFonts w:asciiTheme="minorHAnsi" w:hAnsiTheme="minorHAnsi" w:cs="Arial"/>
          <w:i/>
          <w:iCs/>
          <w:color w:val="000000"/>
          <w:sz w:val="20"/>
          <w:szCs w:val="20"/>
        </w:rPr>
        <w:t>Distance and e-learning in transition: learning innovation, technology and social challenges</w:t>
      </w:r>
      <w:r w:rsidRPr="00177D93">
        <w:rPr>
          <w:rFonts w:asciiTheme="minorHAnsi" w:hAnsiTheme="minorHAnsi" w:cs="Arial"/>
          <w:color w:val="000000"/>
          <w:sz w:val="20"/>
          <w:szCs w:val="20"/>
        </w:rPr>
        <w:t>. Hoboken, NJ: ISTE/John Wiley.</w:t>
      </w:r>
    </w:p>
    <w:p w:rsidR="00177D93" w:rsidRPr="00177D93" w:rsidRDefault="00177D93" w:rsidP="00177D93">
      <w:pPr>
        <w:pStyle w:val="NormalWeb"/>
        <w:spacing w:before="0" w:beforeAutospacing="0" w:after="0" w:afterAutospacing="0"/>
        <w:ind w:left="720" w:hanging="720"/>
        <w:rPr>
          <w:rFonts w:asciiTheme="minorHAnsi" w:hAnsiTheme="minorHAnsi"/>
        </w:rPr>
      </w:pPr>
      <w:proofErr w:type="spellStart"/>
      <w:r w:rsidRPr="00177D93">
        <w:rPr>
          <w:rFonts w:asciiTheme="minorHAnsi" w:hAnsiTheme="minorHAnsi" w:cs="Arial"/>
          <w:color w:val="000000"/>
          <w:sz w:val="20"/>
          <w:szCs w:val="20"/>
        </w:rPr>
        <w:t>Conole</w:t>
      </w:r>
      <w:proofErr w:type="spellEnd"/>
      <w:r w:rsidRPr="00177D93">
        <w:rPr>
          <w:rFonts w:asciiTheme="minorHAnsi" w:hAnsiTheme="minorHAnsi" w:cs="Arial"/>
          <w:color w:val="000000"/>
          <w:sz w:val="20"/>
          <w:szCs w:val="20"/>
        </w:rPr>
        <w:t xml:space="preserve">, G., &amp; Wills, S. (2013). Representing learning designs - making design explicit and shareable. </w:t>
      </w:r>
      <w:r w:rsidRPr="00177D93">
        <w:rPr>
          <w:rFonts w:asciiTheme="minorHAnsi" w:hAnsiTheme="minorHAnsi" w:cs="Arial"/>
          <w:i/>
          <w:iCs/>
          <w:color w:val="000000"/>
          <w:sz w:val="20"/>
          <w:szCs w:val="20"/>
        </w:rPr>
        <w:t>Educational Media International, 50</w:t>
      </w:r>
      <w:r w:rsidRPr="00177D93">
        <w:rPr>
          <w:rFonts w:asciiTheme="minorHAnsi" w:hAnsiTheme="minorHAnsi" w:cs="Arial"/>
          <w:color w:val="000000"/>
          <w:sz w:val="20"/>
          <w:szCs w:val="20"/>
        </w:rPr>
        <w:t>(1), 24-38.</w:t>
      </w:r>
    </w:p>
    <w:p w:rsidR="00177D93" w:rsidRPr="00177D93" w:rsidRDefault="00177D93" w:rsidP="00177D93">
      <w:pPr>
        <w:pStyle w:val="NormalWeb"/>
        <w:spacing w:before="0" w:beforeAutospacing="0" w:after="0" w:afterAutospacing="0"/>
        <w:ind w:left="720" w:hanging="720"/>
        <w:rPr>
          <w:rFonts w:asciiTheme="minorHAnsi" w:hAnsiTheme="minorHAnsi"/>
        </w:rPr>
      </w:pPr>
      <w:proofErr w:type="spellStart"/>
      <w:r w:rsidRPr="00177D93">
        <w:rPr>
          <w:rFonts w:asciiTheme="minorHAnsi" w:hAnsiTheme="minorHAnsi" w:cs="Arial"/>
          <w:color w:val="000000"/>
          <w:sz w:val="20"/>
          <w:szCs w:val="20"/>
        </w:rPr>
        <w:t>Eley</w:t>
      </w:r>
      <w:proofErr w:type="spellEnd"/>
      <w:r w:rsidRPr="00177D93">
        <w:rPr>
          <w:rFonts w:asciiTheme="minorHAnsi" w:hAnsiTheme="minorHAnsi" w:cs="Arial"/>
          <w:color w:val="000000"/>
          <w:sz w:val="20"/>
          <w:szCs w:val="20"/>
        </w:rPr>
        <w:t xml:space="preserve">, M. (2006). Teachers’ Conceptions of Teaching, and the Making of Specific Decisions in Planning to Teach. </w:t>
      </w:r>
      <w:r w:rsidRPr="00177D93">
        <w:rPr>
          <w:rFonts w:asciiTheme="minorHAnsi" w:hAnsiTheme="minorHAnsi" w:cs="Arial"/>
          <w:i/>
          <w:iCs/>
          <w:color w:val="000000"/>
          <w:sz w:val="20"/>
          <w:szCs w:val="20"/>
        </w:rPr>
        <w:t>Higher Education, 51</w:t>
      </w:r>
      <w:r w:rsidRPr="00177D93">
        <w:rPr>
          <w:rFonts w:asciiTheme="minorHAnsi" w:hAnsiTheme="minorHAnsi" w:cs="Arial"/>
          <w:color w:val="000000"/>
          <w:sz w:val="20"/>
          <w:szCs w:val="20"/>
        </w:rPr>
        <w:t xml:space="preserve">(2), 191-214. </w:t>
      </w:r>
      <w:proofErr w:type="spellStart"/>
      <w:r w:rsidRPr="00177D93">
        <w:rPr>
          <w:rFonts w:asciiTheme="minorHAnsi" w:hAnsiTheme="minorHAnsi" w:cs="Arial"/>
          <w:color w:val="000000"/>
          <w:sz w:val="20"/>
          <w:szCs w:val="20"/>
        </w:rPr>
        <w:t>doi</w:t>
      </w:r>
      <w:proofErr w:type="spellEnd"/>
      <w:r w:rsidRPr="00177D93">
        <w:rPr>
          <w:rFonts w:asciiTheme="minorHAnsi" w:hAnsiTheme="minorHAnsi" w:cs="Arial"/>
          <w:color w:val="000000"/>
          <w:sz w:val="20"/>
          <w:szCs w:val="20"/>
        </w:rPr>
        <w:t>: 10.1007/s10734-004-6382-9</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Harris, K.-L., Farrell, K., Bell, M., Devlin, M., &amp; James, R. (2008). Peer review of teaching in Australian higher education: A handbook to support institutions in developing and embedding effective policies and practices. Melbourne: CSHE.</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 xml:space="preserve">Jones, J., Bosch, O., Drack, M., </w:t>
      </w:r>
      <w:proofErr w:type="spellStart"/>
      <w:r w:rsidRPr="00177D93">
        <w:rPr>
          <w:rFonts w:asciiTheme="minorHAnsi" w:hAnsiTheme="minorHAnsi" w:cs="Arial"/>
          <w:color w:val="000000"/>
          <w:sz w:val="20"/>
          <w:szCs w:val="20"/>
        </w:rPr>
        <w:t>Horiuchi</w:t>
      </w:r>
      <w:proofErr w:type="spellEnd"/>
      <w:r w:rsidRPr="00177D93">
        <w:rPr>
          <w:rFonts w:asciiTheme="minorHAnsi" w:hAnsiTheme="minorHAnsi" w:cs="Arial"/>
          <w:color w:val="000000"/>
          <w:sz w:val="20"/>
          <w:szCs w:val="20"/>
        </w:rPr>
        <w:t xml:space="preserve">, Y., &amp; </w:t>
      </w:r>
      <w:proofErr w:type="spellStart"/>
      <w:r w:rsidRPr="00177D93">
        <w:rPr>
          <w:rFonts w:asciiTheme="minorHAnsi" w:hAnsiTheme="minorHAnsi" w:cs="Arial"/>
          <w:color w:val="000000"/>
          <w:sz w:val="20"/>
          <w:szCs w:val="20"/>
        </w:rPr>
        <w:t>Ramage</w:t>
      </w:r>
      <w:proofErr w:type="spellEnd"/>
      <w:r w:rsidRPr="00177D93">
        <w:rPr>
          <w:rFonts w:asciiTheme="minorHAnsi" w:hAnsiTheme="minorHAnsi" w:cs="Arial"/>
          <w:color w:val="000000"/>
          <w:sz w:val="20"/>
          <w:szCs w:val="20"/>
        </w:rPr>
        <w:t xml:space="preserve">, M. (2009). On the design of systems-oriented university curricula. </w:t>
      </w:r>
      <w:r w:rsidRPr="00177D93">
        <w:rPr>
          <w:rFonts w:asciiTheme="minorHAnsi" w:hAnsiTheme="minorHAnsi" w:cs="Arial"/>
          <w:i/>
          <w:iCs/>
          <w:color w:val="000000"/>
          <w:sz w:val="20"/>
          <w:szCs w:val="20"/>
        </w:rPr>
        <w:t>The Research Reports of Shibaura Institute of Technology (Social Sciences and Humanities), 43</w:t>
      </w:r>
      <w:r w:rsidRPr="00177D93">
        <w:rPr>
          <w:rFonts w:asciiTheme="minorHAnsi" w:hAnsiTheme="minorHAnsi" w:cs="Arial"/>
          <w:color w:val="000000"/>
          <w:sz w:val="20"/>
          <w:szCs w:val="20"/>
        </w:rPr>
        <w:t>(1), 121-130.</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Jones, S., &amp; Holmes, J. (2013). LTAS@UTAS: Learning and teaching academic standards at The University of Tasmania: University of Tasmania.</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 xml:space="preserve">Kali, Y., Goodyear, P., &amp; </w:t>
      </w:r>
      <w:proofErr w:type="spellStart"/>
      <w:r w:rsidRPr="00177D93">
        <w:rPr>
          <w:rFonts w:asciiTheme="minorHAnsi" w:hAnsiTheme="minorHAnsi" w:cs="Arial"/>
          <w:color w:val="000000"/>
          <w:sz w:val="20"/>
          <w:szCs w:val="20"/>
        </w:rPr>
        <w:t>Markauskaite</w:t>
      </w:r>
      <w:proofErr w:type="spellEnd"/>
      <w:r w:rsidRPr="00177D93">
        <w:rPr>
          <w:rFonts w:asciiTheme="minorHAnsi" w:hAnsiTheme="minorHAnsi" w:cs="Arial"/>
          <w:color w:val="000000"/>
          <w:sz w:val="20"/>
          <w:szCs w:val="20"/>
        </w:rPr>
        <w:t xml:space="preserve">, L. (2011). Researching design practices and design cognition: contexts, experiences and pedagogical knowledge in pieces. </w:t>
      </w:r>
      <w:r w:rsidRPr="00177D93">
        <w:rPr>
          <w:rFonts w:asciiTheme="minorHAnsi" w:hAnsiTheme="minorHAnsi" w:cs="Arial"/>
          <w:i/>
          <w:iCs/>
          <w:color w:val="000000"/>
          <w:sz w:val="20"/>
          <w:szCs w:val="20"/>
        </w:rPr>
        <w:t>Learning, Media and Technology, 36</w:t>
      </w:r>
      <w:r w:rsidRPr="00177D93">
        <w:rPr>
          <w:rFonts w:asciiTheme="minorHAnsi" w:hAnsiTheme="minorHAnsi" w:cs="Arial"/>
          <w:color w:val="000000"/>
          <w:sz w:val="20"/>
          <w:szCs w:val="20"/>
        </w:rPr>
        <w:t xml:space="preserve">(2), 129-149. </w:t>
      </w:r>
      <w:proofErr w:type="spellStart"/>
      <w:r w:rsidRPr="00177D93">
        <w:rPr>
          <w:rFonts w:asciiTheme="minorHAnsi" w:hAnsiTheme="minorHAnsi" w:cs="Arial"/>
          <w:color w:val="000000"/>
          <w:sz w:val="20"/>
          <w:szCs w:val="20"/>
        </w:rPr>
        <w:t>doi</w:t>
      </w:r>
      <w:proofErr w:type="spellEnd"/>
      <w:r w:rsidRPr="00177D93">
        <w:rPr>
          <w:rFonts w:asciiTheme="minorHAnsi" w:hAnsiTheme="minorHAnsi" w:cs="Arial"/>
          <w:color w:val="000000"/>
          <w:sz w:val="20"/>
          <w:szCs w:val="20"/>
        </w:rPr>
        <w:t>: 10.1080/17439884.2011.553621</w:t>
      </w:r>
    </w:p>
    <w:p w:rsidR="00177D93" w:rsidRPr="00177D93" w:rsidRDefault="00177D93" w:rsidP="00177D93">
      <w:pPr>
        <w:pStyle w:val="NormalWeb"/>
        <w:spacing w:before="0" w:beforeAutospacing="0" w:after="0" w:afterAutospacing="0"/>
        <w:ind w:left="720" w:hanging="720"/>
        <w:rPr>
          <w:rFonts w:asciiTheme="minorHAnsi" w:hAnsiTheme="minorHAnsi"/>
        </w:rPr>
      </w:pPr>
      <w:proofErr w:type="spellStart"/>
      <w:r w:rsidRPr="00177D93">
        <w:rPr>
          <w:rFonts w:asciiTheme="minorHAnsi" w:hAnsiTheme="minorHAnsi" w:cs="Arial"/>
          <w:color w:val="000000"/>
          <w:sz w:val="20"/>
          <w:szCs w:val="20"/>
        </w:rPr>
        <w:t>Kember</w:t>
      </w:r>
      <w:proofErr w:type="spellEnd"/>
      <w:r w:rsidRPr="00177D93">
        <w:rPr>
          <w:rFonts w:asciiTheme="minorHAnsi" w:hAnsiTheme="minorHAnsi" w:cs="Arial"/>
          <w:color w:val="000000"/>
          <w:sz w:val="20"/>
          <w:szCs w:val="20"/>
        </w:rPr>
        <w:t xml:space="preserve">, D. (1997). A </w:t>
      </w:r>
      <w:proofErr w:type="spellStart"/>
      <w:r w:rsidRPr="00177D93">
        <w:rPr>
          <w:rFonts w:asciiTheme="minorHAnsi" w:hAnsiTheme="minorHAnsi" w:cs="Arial"/>
          <w:color w:val="000000"/>
          <w:sz w:val="20"/>
          <w:szCs w:val="20"/>
        </w:rPr>
        <w:t>reconceptualisation</w:t>
      </w:r>
      <w:proofErr w:type="spellEnd"/>
      <w:r w:rsidRPr="00177D93">
        <w:rPr>
          <w:rFonts w:asciiTheme="minorHAnsi" w:hAnsiTheme="minorHAnsi" w:cs="Arial"/>
          <w:color w:val="000000"/>
          <w:sz w:val="20"/>
          <w:szCs w:val="20"/>
        </w:rPr>
        <w:t xml:space="preserve"> of the research into university academics' conceptions of teaching. </w:t>
      </w:r>
      <w:r w:rsidRPr="00177D93">
        <w:rPr>
          <w:rFonts w:asciiTheme="minorHAnsi" w:hAnsiTheme="minorHAnsi" w:cs="Arial"/>
          <w:i/>
          <w:iCs/>
          <w:color w:val="000000"/>
          <w:sz w:val="20"/>
          <w:szCs w:val="20"/>
        </w:rPr>
        <w:t>Learning and Instruction, 7</w:t>
      </w:r>
      <w:r w:rsidRPr="00177D93">
        <w:rPr>
          <w:rFonts w:asciiTheme="minorHAnsi" w:hAnsiTheme="minorHAnsi" w:cs="Arial"/>
          <w:color w:val="000000"/>
          <w:sz w:val="20"/>
          <w:szCs w:val="20"/>
        </w:rPr>
        <w:t xml:space="preserve">(3), 255-275. </w:t>
      </w:r>
      <w:proofErr w:type="spellStart"/>
      <w:r w:rsidRPr="00177D93">
        <w:rPr>
          <w:rFonts w:asciiTheme="minorHAnsi" w:hAnsiTheme="minorHAnsi" w:cs="Arial"/>
          <w:color w:val="000000"/>
          <w:sz w:val="20"/>
          <w:szCs w:val="20"/>
        </w:rPr>
        <w:t>doi</w:t>
      </w:r>
      <w:proofErr w:type="spellEnd"/>
      <w:r w:rsidRPr="00177D93">
        <w:rPr>
          <w:rFonts w:asciiTheme="minorHAnsi" w:hAnsiTheme="minorHAnsi" w:cs="Arial"/>
          <w:color w:val="000000"/>
          <w:sz w:val="20"/>
          <w:szCs w:val="20"/>
        </w:rPr>
        <w:t>:</w:t>
      </w:r>
      <w:hyperlink r:id="rId11" w:history="1">
        <w:r w:rsidRPr="00177D93">
          <w:rPr>
            <w:rStyle w:val="Hyperlink"/>
            <w:rFonts w:asciiTheme="minorHAnsi" w:eastAsiaTheme="majorEastAsia" w:hAnsiTheme="minorHAnsi" w:cs="Arial"/>
            <w:color w:val="000000"/>
            <w:sz w:val="20"/>
            <w:szCs w:val="20"/>
          </w:rPr>
          <w:t xml:space="preserve"> </w:t>
        </w:r>
        <w:r w:rsidRPr="00177D93">
          <w:rPr>
            <w:rStyle w:val="Hyperlink"/>
            <w:rFonts w:asciiTheme="minorHAnsi" w:eastAsiaTheme="majorEastAsia" w:hAnsiTheme="minorHAnsi" w:cs="Arial"/>
            <w:color w:val="1155CC"/>
            <w:sz w:val="20"/>
            <w:szCs w:val="20"/>
          </w:rPr>
          <w:t>http://dx.doi.org/10.1016/S0959-4752(96)00028-X</w:t>
        </w:r>
      </w:hyperlink>
    </w:p>
    <w:p w:rsidR="00177D93" w:rsidRPr="00177D93" w:rsidRDefault="00177D93" w:rsidP="00177D93">
      <w:pPr>
        <w:pStyle w:val="NormalWeb"/>
        <w:spacing w:before="0" w:beforeAutospacing="0" w:after="0" w:afterAutospacing="0"/>
        <w:ind w:left="720" w:hanging="720"/>
        <w:rPr>
          <w:rFonts w:asciiTheme="minorHAnsi" w:hAnsiTheme="minorHAnsi"/>
        </w:rPr>
      </w:pPr>
      <w:proofErr w:type="spellStart"/>
      <w:r w:rsidRPr="00177D93">
        <w:rPr>
          <w:rFonts w:asciiTheme="minorHAnsi" w:hAnsiTheme="minorHAnsi" w:cs="Arial"/>
          <w:color w:val="000000"/>
          <w:sz w:val="20"/>
          <w:szCs w:val="20"/>
        </w:rPr>
        <w:t>Keppell</w:t>
      </w:r>
      <w:proofErr w:type="spellEnd"/>
      <w:r w:rsidRPr="00177D93">
        <w:rPr>
          <w:rFonts w:asciiTheme="minorHAnsi" w:hAnsiTheme="minorHAnsi" w:cs="Arial"/>
          <w:color w:val="000000"/>
          <w:sz w:val="20"/>
          <w:szCs w:val="20"/>
        </w:rPr>
        <w:t xml:space="preserve">, M., </w:t>
      </w:r>
      <w:proofErr w:type="spellStart"/>
      <w:r w:rsidRPr="00177D93">
        <w:rPr>
          <w:rFonts w:asciiTheme="minorHAnsi" w:hAnsiTheme="minorHAnsi" w:cs="Arial"/>
          <w:color w:val="000000"/>
          <w:sz w:val="20"/>
          <w:szCs w:val="20"/>
        </w:rPr>
        <w:t>Suddaby</w:t>
      </w:r>
      <w:proofErr w:type="spellEnd"/>
      <w:r w:rsidRPr="00177D93">
        <w:rPr>
          <w:rFonts w:asciiTheme="minorHAnsi" w:hAnsiTheme="minorHAnsi" w:cs="Arial"/>
          <w:color w:val="000000"/>
          <w:sz w:val="20"/>
          <w:szCs w:val="20"/>
        </w:rPr>
        <w:t>, G., &amp; Hard, N. (2011). Good practice report: Technology-enhanced learning and teaching: Australian Learning and Teaching Council Limited.</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 xml:space="preserve">Kertesz, J. (2015). U-MAP: beyond curriculum mapping. </w:t>
      </w:r>
      <w:r w:rsidRPr="00177D93">
        <w:rPr>
          <w:rFonts w:asciiTheme="minorHAnsi" w:hAnsiTheme="minorHAnsi" w:cs="Arial"/>
          <w:i/>
          <w:iCs/>
          <w:color w:val="000000"/>
          <w:sz w:val="20"/>
          <w:szCs w:val="20"/>
        </w:rPr>
        <w:t>Advances in the Scholarship of Teaching and Learning, 2</w:t>
      </w:r>
      <w:r w:rsidRPr="00177D93">
        <w:rPr>
          <w:rFonts w:asciiTheme="minorHAnsi" w:hAnsiTheme="minorHAnsi" w:cs="Arial"/>
          <w:color w:val="000000"/>
          <w:sz w:val="20"/>
          <w:szCs w:val="20"/>
        </w:rPr>
        <w:t>(1).</w:t>
      </w:r>
    </w:p>
    <w:p w:rsidR="00177D93" w:rsidRPr="00177D93" w:rsidRDefault="00177D93" w:rsidP="00177D93">
      <w:pPr>
        <w:pStyle w:val="NormalWeb"/>
        <w:spacing w:before="0" w:beforeAutospacing="0" w:after="0" w:afterAutospacing="0"/>
        <w:ind w:left="720" w:hanging="720"/>
        <w:rPr>
          <w:rFonts w:asciiTheme="minorHAnsi" w:hAnsiTheme="minorHAnsi"/>
        </w:rPr>
      </w:pPr>
      <w:r w:rsidRPr="00177D93">
        <w:rPr>
          <w:rFonts w:asciiTheme="minorHAnsi" w:hAnsiTheme="minorHAnsi" w:cs="Arial"/>
          <w:color w:val="000000"/>
          <w:sz w:val="20"/>
          <w:szCs w:val="20"/>
        </w:rPr>
        <w:t xml:space="preserve">LAMS Foundation. (2015). Learning activity management system </w:t>
      </w:r>
      <w:r>
        <w:rPr>
          <w:rFonts w:asciiTheme="minorHAnsi" w:hAnsiTheme="minorHAnsi" w:cs="Arial"/>
          <w:color w:val="000000"/>
          <w:sz w:val="20"/>
          <w:szCs w:val="20"/>
        </w:rPr>
        <w:t xml:space="preserve"> </w:t>
      </w:r>
      <w:r w:rsidRPr="00177D93">
        <w:rPr>
          <w:rFonts w:asciiTheme="minorHAnsi" w:hAnsiTheme="minorHAnsi" w:cs="Arial"/>
          <w:color w:val="000000"/>
          <w:sz w:val="20"/>
          <w:szCs w:val="20"/>
        </w:rPr>
        <w:t>Retrieved 17 June, 2015, from http://lamsfoundation.org/</w:t>
      </w:r>
    </w:p>
    <w:p w:rsidR="00177D93" w:rsidRPr="00177D93" w:rsidRDefault="00177D93" w:rsidP="00177D93">
      <w:pPr>
        <w:pStyle w:val="NormalWeb"/>
        <w:spacing w:before="0" w:beforeAutospacing="0" w:after="0" w:afterAutospacing="0"/>
        <w:ind w:left="720" w:hanging="720"/>
        <w:rPr>
          <w:rFonts w:asciiTheme="minorHAnsi" w:hAnsiTheme="minorHAnsi"/>
        </w:rPr>
      </w:pPr>
      <w:r>
        <w:rPr>
          <w:rFonts w:asciiTheme="minorHAnsi" w:hAnsiTheme="minorHAnsi" w:cs="Arial"/>
          <w:color w:val="000000"/>
          <w:sz w:val="20"/>
          <w:szCs w:val="20"/>
        </w:rPr>
        <w:t xml:space="preserve">Larnacadeclaration.org. (2013) </w:t>
      </w:r>
      <w:r w:rsidRPr="00177D93">
        <w:rPr>
          <w:rFonts w:asciiTheme="minorHAnsi" w:hAnsiTheme="minorHAnsi" w:cs="Arial"/>
          <w:color w:val="000000"/>
          <w:sz w:val="20"/>
          <w:szCs w:val="20"/>
        </w:rPr>
        <w:t xml:space="preserve">The </w:t>
      </w:r>
      <w:proofErr w:type="spellStart"/>
      <w:r w:rsidRPr="00177D93">
        <w:rPr>
          <w:rFonts w:asciiTheme="minorHAnsi" w:hAnsiTheme="minorHAnsi" w:cs="Arial"/>
          <w:color w:val="000000"/>
          <w:sz w:val="20"/>
          <w:szCs w:val="20"/>
        </w:rPr>
        <w:t>Larnaca</w:t>
      </w:r>
      <w:proofErr w:type="spellEnd"/>
      <w:r w:rsidRPr="00177D93">
        <w:rPr>
          <w:rFonts w:asciiTheme="minorHAnsi" w:hAnsiTheme="minorHAnsi" w:cs="Arial"/>
          <w:color w:val="000000"/>
          <w:sz w:val="20"/>
          <w:szCs w:val="20"/>
        </w:rPr>
        <w:t xml:space="preserve"> Declaration on Learning Design </w:t>
      </w:r>
      <w:r>
        <w:rPr>
          <w:rFonts w:asciiTheme="minorHAnsi" w:hAnsiTheme="minorHAnsi" w:cs="Arial"/>
          <w:color w:val="000000"/>
          <w:sz w:val="20"/>
          <w:szCs w:val="20"/>
        </w:rPr>
        <w:t xml:space="preserve"> </w:t>
      </w:r>
      <w:r w:rsidRPr="00177D93">
        <w:rPr>
          <w:rFonts w:asciiTheme="minorHAnsi" w:hAnsiTheme="minorHAnsi" w:cs="Arial"/>
          <w:color w:val="000000"/>
          <w:sz w:val="20"/>
          <w:szCs w:val="20"/>
        </w:rPr>
        <w:t>Retrieved 17 June, 2015, from http://www.larnacadeclaration.org/</w:t>
      </w:r>
    </w:p>
    <w:p w:rsidR="00177D93" w:rsidRDefault="00177D93" w:rsidP="00177D93">
      <w:pPr>
        <w:pStyle w:val="NormalWeb"/>
        <w:spacing w:before="0" w:beforeAutospacing="0" w:after="0" w:afterAutospacing="0"/>
        <w:ind w:left="720" w:hanging="720"/>
        <w:rPr>
          <w:rFonts w:asciiTheme="minorHAnsi" w:hAnsiTheme="minorHAnsi" w:cs="Arial"/>
          <w:color w:val="000000"/>
          <w:sz w:val="20"/>
          <w:szCs w:val="20"/>
        </w:rPr>
      </w:pPr>
      <w:r w:rsidRPr="00177D93">
        <w:rPr>
          <w:rFonts w:asciiTheme="minorHAnsi" w:hAnsiTheme="minorHAnsi" w:cs="Arial"/>
          <w:color w:val="000000"/>
          <w:sz w:val="20"/>
          <w:szCs w:val="20"/>
        </w:rPr>
        <w:t>Linquist, S. (2013). Planning your online unit - UTAS Version 1.0. Retrieved from https://mylo.utas.edu.au/d2l/lor/viewer/view.d2l?ou=6607&amp;loIdentId=67041</w:t>
      </w:r>
    </w:p>
    <w:p w:rsidR="007217E5" w:rsidRDefault="007217E5" w:rsidP="007217E5">
      <w:pPr>
        <w:spacing w:after="0" w:line="240" w:lineRule="auto"/>
        <w:ind w:left="720" w:hanging="720"/>
        <w:rPr>
          <w:noProof/>
          <w:sz w:val="20"/>
          <w:szCs w:val="20"/>
        </w:rPr>
      </w:pPr>
      <w:r w:rsidRPr="007217E5">
        <w:rPr>
          <w:noProof/>
          <w:sz w:val="20"/>
          <w:szCs w:val="20"/>
        </w:rPr>
        <w:t xml:space="preserve">Linquist, S., &amp; Phegan, R. (2015). Curriculum first / not technology: Facilitating the design of blended and online units with teaching teams </w:t>
      </w:r>
      <w:r w:rsidRPr="007217E5">
        <w:rPr>
          <w:i/>
          <w:noProof/>
          <w:sz w:val="20"/>
          <w:szCs w:val="20"/>
        </w:rPr>
        <w:t>H</w:t>
      </w:r>
      <w:r>
        <w:rPr>
          <w:i/>
          <w:noProof/>
          <w:sz w:val="20"/>
          <w:szCs w:val="20"/>
        </w:rPr>
        <w:t>E</w:t>
      </w:r>
      <w:r w:rsidRPr="007217E5">
        <w:rPr>
          <w:i/>
          <w:noProof/>
          <w:sz w:val="20"/>
          <w:szCs w:val="20"/>
        </w:rPr>
        <w:t>RDSA Annual Conference</w:t>
      </w:r>
      <w:r w:rsidRPr="007217E5">
        <w:rPr>
          <w:noProof/>
          <w:sz w:val="20"/>
          <w:szCs w:val="20"/>
        </w:rPr>
        <w:t>. Melbourne.</w:t>
      </w:r>
      <w:r>
        <w:rPr>
          <w:noProof/>
          <w:sz w:val="20"/>
          <w:szCs w:val="20"/>
        </w:rPr>
        <w:t xml:space="preserve"> </w:t>
      </w:r>
    </w:p>
    <w:p w:rsidR="007217E5" w:rsidRDefault="007217E5" w:rsidP="007217E5">
      <w:pPr>
        <w:spacing w:after="0" w:line="240" w:lineRule="auto"/>
        <w:ind w:left="720" w:hanging="720"/>
        <w:rPr>
          <w:noProof/>
          <w:sz w:val="20"/>
          <w:szCs w:val="20"/>
        </w:rPr>
      </w:pPr>
      <w:r w:rsidRPr="007217E5">
        <w:rPr>
          <w:noProof/>
          <w:sz w:val="20"/>
          <w:szCs w:val="20"/>
        </w:rPr>
        <w:t xml:space="preserve">Linquist, S., &amp; Phegan, R. (2015). Learning design as the missing link between curriculum and blended learning </w:t>
      </w:r>
      <w:r w:rsidRPr="007217E5">
        <w:rPr>
          <w:i/>
          <w:noProof/>
          <w:sz w:val="20"/>
          <w:szCs w:val="20"/>
        </w:rPr>
        <w:t>Teaching Matters 2015</w:t>
      </w:r>
      <w:r w:rsidRPr="007217E5">
        <w:rPr>
          <w:noProof/>
          <w:sz w:val="20"/>
          <w:szCs w:val="20"/>
        </w:rPr>
        <w:t>. Hobart.</w:t>
      </w:r>
    </w:p>
    <w:p w:rsidR="007217E5" w:rsidRDefault="00177D93" w:rsidP="007217E5">
      <w:pPr>
        <w:spacing w:after="0" w:line="240" w:lineRule="auto"/>
        <w:ind w:left="720" w:hanging="720"/>
        <w:rPr>
          <w:rFonts w:cs="Arial"/>
          <w:color w:val="000000"/>
          <w:sz w:val="20"/>
          <w:szCs w:val="20"/>
        </w:rPr>
      </w:pPr>
      <w:r w:rsidRPr="00177D93">
        <w:rPr>
          <w:rFonts w:cs="Arial"/>
          <w:color w:val="000000"/>
          <w:sz w:val="20"/>
          <w:szCs w:val="20"/>
        </w:rPr>
        <w:t xml:space="preserve">Linquist, S., &amp; Phegan, R. (2015). Reviewing assessment at the unit design  Retrieved 20 September, 2015, from </w:t>
      </w:r>
      <w:hyperlink r:id="rId12" w:history="1">
        <w:r w:rsidR="007217E5" w:rsidRPr="00EB1269">
          <w:rPr>
            <w:rStyle w:val="Hyperlink"/>
            <w:rFonts w:cs="Arial"/>
            <w:sz w:val="20"/>
            <w:szCs w:val="20"/>
          </w:rPr>
          <w:t>https://elibrary.utas.edu.au/lor/items/b9601e34-805b-4aed-a90a-d75784c78b10/1/</w:t>
        </w:r>
      </w:hyperlink>
      <w:r w:rsidR="007217E5">
        <w:rPr>
          <w:rFonts w:cs="Arial"/>
          <w:color w:val="000000"/>
          <w:sz w:val="20"/>
          <w:szCs w:val="20"/>
        </w:rPr>
        <w:t xml:space="preserve"> </w:t>
      </w:r>
    </w:p>
    <w:p w:rsidR="007217E5" w:rsidRDefault="00177D93" w:rsidP="007217E5">
      <w:pPr>
        <w:spacing w:after="0"/>
        <w:ind w:left="720" w:hanging="720"/>
        <w:rPr>
          <w:rFonts w:cs="Arial"/>
          <w:color w:val="000000"/>
          <w:sz w:val="20"/>
          <w:szCs w:val="20"/>
        </w:rPr>
      </w:pPr>
      <w:r w:rsidRPr="00177D93">
        <w:rPr>
          <w:rFonts w:cs="Arial"/>
          <w:color w:val="000000"/>
          <w:sz w:val="20"/>
          <w:szCs w:val="20"/>
        </w:rPr>
        <w:t>Open University. (2015). Compendium LD  Retrieved 18 June, 2015, from</w:t>
      </w:r>
      <w:hyperlink r:id="rId13" w:history="1">
        <w:r w:rsidRPr="00177D93">
          <w:rPr>
            <w:rStyle w:val="Hyperlink"/>
            <w:rFonts w:cs="Arial"/>
            <w:color w:val="000000"/>
            <w:sz w:val="20"/>
            <w:szCs w:val="20"/>
          </w:rPr>
          <w:t xml:space="preserve"> </w:t>
        </w:r>
        <w:r w:rsidRPr="00177D93">
          <w:rPr>
            <w:rStyle w:val="Hyperlink"/>
            <w:rFonts w:cs="Arial"/>
            <w:color w:val="1155CC"/>
            <w:sz w:val="20"/>
            <w:szCs w:val="20"/>
          </w:rPr>
          <w:t>http://compendiumld.open.ac.uk/</w:t>
        </w:r>
      </w:hyperlink>
      <w:r w:rsidR="007217E5">
        <w:t xml:space="preserve"> </w:t>
      </w:r>
    </w:p>
    <w:p w:rsidR="00177D93" w:rsidRDefault="00177D93" w:rsidP="007217E5">
      <w:pPr>
        <w:spacing w:after="0"/>
        <w:ind w:left="720" w:hanging="720"/>
        <w:rPr>
          <w:rFonts w:cs="Arial"/>
          <w:color w:val="000000"/>
          <w:sz w:val="20"/>
          <w:szCs w:val="20"/>
        </w:rPr>
      </w:pPr>
      <w:r w:rsidRPr="00177D93">
        <w:rPr>
          <w:rFonts w:cs="Arial"/>
          <w:color w:val="000000"/>
          <w:sz w:val="20"/>
          <w:szCs w:val="20"/>
        </w:rPr>
        <w:t>Sadler, D. (2013). LTAS@UTAS: Learning and teaching academic standards at The University of Tasmania. In S. Jones &amp; J. Holmes (Eds.): University of Tasmania.</w:t>
      </w:r>
    </w:p>
    <w:p w:rsidR="007217E5" w:rsidRDefault="007217E5" w:rsidP="00177D93">
      <w:pPr>
        <w:pStyle w:val="NormalWeb"/>
        <w:spacing w:before="0" w:beforeAutospacing="0" w:after="0" w:afterAutospacing="0"/>
        <w:ind w:left="720" w:hanging="720"/>
        <w:rPr>
          <w:rFonts w:asciiTheme="minorHAnsi" w:hAnsiTheme="minorHAnsi" w:cs="Arial"/>
          <w:color w:val="000000"/>
          <w:sz w:val="20"/>
          <w:szCs w:val="20"/>
        </w:rPr>
      </w:pPr>
    </w:p>
    <w:p w:rsidR="007217E5" w:rsidRDefault="007217E5" w:rsidP="00177D93">
      <w:pPr>
        <w:pStyle w:val="NormalWeb"/>
        <w:spacing w:before="0" w:beforeAutospacing="0" w:after="0" w:afterAutospacing="0"/>
        <w:ind w:left="720" w:hanging="720"/>
        <w:rPr>
          <w:rFonts w:asciiTheme="minorHAnsi" w:hAnsiTheme="minorHAnsi" w:cs="Arial"/>
          <w:color w:val="000000"/>
          <w:sz w:val="20"/>
          <w:szCs w:val="20"/>
        </w:rPr>
      </w:pPr>
    </w:p>
    <w:p w:rsidR="007217E5" w:rsidRDefault="007217E5" w:rsidP="007217E5">
      <w:pPr>
        <w:ind w:left="720" w:hanging="720"/>
        <w:rPr>
          <w:noProof/>
        </w:rPr>
      </w:pPr>
    </w:p>
    <w:p w:rsidR="007217E5" w:rsidRPr="00177D93" w:rsidRDefault="007217E5" w:rsidP="00177D93">
      <w:pPr>
        <w:pStyle w:val="NormalWeb"/>
        <w:spacing w:before="0" w:beforeAutospacing="0" w:after="0" w:afterAutospacing="0"/>
        <w:ind w:left="720" w:hanging="720"/>
        <w:rPr>
          <w:rFonts w:asciiTheme="minorHAnsi" w:hAnsiTheme="minorHAnsi"/>
        </w:rPr>
      </w:pPr>
    </w:p>
    <w:p w:rsidR="00177D93" w:rsidRDefault="00177D93" w:rsidP="00D55ADF">
      <w:pPr>
        <w:pStyle w:val="Heading1"/>
      </w:pPr>
    </w:p>
    <w:p w:rsidR="00177D93" w:rsidRDefault="00177D93" w:rsidP="00D55ADF">
      <w:pPr>
        <w:pStyle w:val="Heading1"/>
      </w:pPr>
    </w:p>
    <w:p w:rsidR="00177D93" w:rsidRDefault="00177D93" w:rsidP="00D55ADF">
      <w:pPr>
        <w:pStyle w:val="Heading1"/>
      </w:pPr>
    </w:p>
    <w:p w:rsidR="00177D93" w:rsidRDefault="00177D93" w:rsidP="00D55ADF">
      <w:pPr>
        <w:pStyle w:val="Heading1"/>
      </w:pPr>
    </w:p>
    <w:p w:rsidR="00177D93" w:rsidRDefault="00177D93" w:rsidP="00D55ADF">
      <w:pPr>
        <w:pStyle w:val="Heading1"/>
      </w:pPr>
    </w:p>
    <w:p w:rsidR="00177D93" w:rsidRDefault="00177D93" w:rsidP="00D55ADF">
      <w:pPr>
        <w:pStyle w:val="Heading1"/>
      </w:pPr>
    </w:p>
    <w:p w:rsidR="009D06ED" w:rsidRPr="003B6532" w:rsidRDefault="009D06ED" w:rsidP="008748D3">
      <w:pPr>
        <w:rPr>
          <w:lang w:val="en-US"/>
        </w:rPr>
      </w:pPr>
    </w:p>
    <w:sectPr w:rsidR="009D06ED" w:rsidRPr="003B6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89F"/>
    <w:multiLevelType w:val="hybridMultilevel"/>
    <w:tmpl w:val="709215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67F2C19"/>
    <w:multiLevelType w:val="hybridMultilevel"/>
    <w:tmpl w:val="D82EE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C3E79"/>
    <w:multiLevelType w:val="hybridMultilevel"/>
    <w:tmpl w:val="853A842E"/>
    <w:lvl w:ilvl="0" w:tplc="C40C9F86">
      <w:numFmt w:val="bullet"/>
      <w:lvlText w:val="-"/>
      <w:lvlJc w:val="left"/>
      <w:pPr>
        <w:ind w:left="720" w:hanging="360"/>
      </w:pPr>
      <w:rPr>
        <w:rFonts w:ascii="Calibri Light" w:eastAsiaTheme="majorEastAsia" w:hAnsi="Calibri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263A37"/>
    <w:multiLevelType w:val="hybridMultilevel"/>
    <w:tmpl w:val="0F662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F013C7"/>
    <w:multiLevelType w:val="hybridMultilevel"/>
    <w:tmpl w:val="3D6A9004"/>
    <w:lvl w:ilvl="0" w:tplc="26F049E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811193"/>
    <w:multiLevelType w:val="hybridMultilevel"/>
    <w:tmpl w:val="6562CF18"/>
    <w:lvl w:ilvl="0" w:tplc="9E8CF63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533E8E"/>
    <w:multiLevelType w:val="hybridMultilevel"/>
    <w:tmpl w:val="37D67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D71927"/>
    <w:multiLevelType w:val="hybridMultilevel"/>
    <w:tmpl w:val="EE5AA6CA"/>
    <w:lvl w:ilvl="0" w:tplc="BBE6009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7251E"/>
    <w:multiLevelType w:val="hybridMultilevel"/>
    <w:tmpl w:val="8AD0B826"/>
    <w:lvl w:ilvl="0" w:tplc="26F049EC">
      <w:numFmt w:val="bullet"/>
      <w:lvlText w:val="-"/>
      <w:lvlJc w:val="left"/>
      <w:pPr>
        <w:ind w:left="1440" w:hanging="360"/>
      </w:pPr>
      <w:rPr>
        <w:rFonts w:ascii="Calibri" w:eastAsiaTheme="minorEastAsia"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32"/>
    <w:rsid w:val="000F45F1"/>
    <w:rsid w:val="00101EEC"/>
    <w:rsid w:val="00111F3C"/>
    <w:rsid w:val="00123B8F"/>
    <w:rsid w:val="00131AF2"/>
    <w:rsid w:val="00177D93"/>
    <w:rsid w:val="001C4A65"/>
    <w:rsid w:val="001F458E"/>
    <w:rsid w:val="00254312"/>
    <w:rsid w:val="002C0FEB"/>
    <w:rsid w:val="002C1DF2"/>
    <w:rsid w:val="002D4578"/>
    <w:rsid w:val="002D4811"/>
    <w:rsid w:val="00353EF9"/>
    <w:rsid w:val="003B6532"/>
    <w:rsid w:val="003D38F7"/>
    <w:rsid w:val="003E7B3A"/>
    <w:rsid w:val="00441AE6"/>
    <w:rsid w:val="0046592E"/>
    <w:rsid w:val="00466B0C"/>
    <w:rsid w:val="00483502"/>
    <w:rsid w:val="004B3D6F"/>
    <w:rsid w:val="0050258D"/>
    <w:rsid w:val="00570F56"/>
    <w:rsid w:val="00597C84"/>
    <w:rsid w:val="00597E14"/>
    <w:rsid w:val="005A21FE"/>
    <w:rsid w:val="005A3A0C"/>
    <w:rsid w:val="005C0FA3"/>
    <w:rsid w:val="005C49AD"/>
    <w:rsid w:val="006B0A8B"/>
    <w:rsid w:val="006D20DD"/>
    <w:rsid w:val="006D4267"/>
    <w:rsid w:val="006E47D9"/>
    <w:rsid w:val="006F0BC6"/>
    <w:rsid w:val="007076ED"/>
    <w:rsid w:val="007217E5"/>
    <w:rsid w:val="00731A29"/>
    <w:rsid w:val="007331C2"/>
    <w:rsid w:val="007B4D9F"/>
    <w:rsid w:val="007E112B"/>
    <w:rsid w:val="00801B64"/>
    <w:rsid w:val="008748D3"/>
    <w:rsid w:val="008C41EF"/>
    <w:rsid w:val="008C530F"/>
    <w:rsid w:val="00907D9C"/>
    <w:rsid w:val="009214A0"/>
    <w:rsid w:val="009365C7"/>
    <w:rsid w:val="00944F20"/>
    <w:rsid w:val="00991DBF"/>
    <w:rsid w:val="009A25D0"/>
    <w:rsid w:val="009B0634"/>
    <w:rsid w:val="009B4D13"/>
    <w:rsid w:val="009D06ED"/>
    <w:rsid w:val="009D0B4C"/>
    <w:rsid w:val="00A11C83"/>
    <w:rsid w:val="00A26F52"/>
    <w:rsid w:val="00A32A2C"/>
    <w:rsid w:val="00A44D3E"/>
    <w:rsid w:val="00A53E91"/>
    <w:rsid w:val="00A73773"/>
    <w:rsid w:val="00AB574F"/>
    <w:rsid w:val="00B54861"/>
    <w:rsid w:val="00B61340"/>
    <w:rsid w:val="00B74136"/>
    <w:rsid w:val="00B776AE"/>
    <w:rsid w:val="00C0755B"/>
    <w:rsid w:val="00C10DF8"/>
    <w:rsid w:val="00C22ED1"/>
    <w:rsid w:val="00C53DEA"/>
    <w:rsid w:val="00C646D2"/>
    <w:rsid w:val="00C716F9"/>
    <w:rsid w:val="00C811E2"/>
    <w:rsid w:val="00CB6404"/>
    <w:rsid w:val="00CD1577"/>
    <w:rsid w:val="00D27DB8"/>
    <w:rsid w:val="00D33513"/>
    <w:rsid w:val="00D55ADF"/>
    <w:rsid w:val="00D64374"/>
    <w:rsid w:val="00D9100A"/>
    <w:rsid w:val="00DA0FB3"/>
    <w:rsid w:val="00DC4BC4"/>
    <w:rsid w:val="00DD0580"/>
    <w:rsid w:val="00DF2612"/>
    <w:rsid w:val="00DF3C73"/>
    <w:rsid w:val="00E327E6"/>
    <w:rsid w:val="00EC551E"/>
    <w:rsid w:val="00ED0E44"/>
    <w:rsid w:val="00EE57DC"/>
    <w:rsid w:val="00F06AC1"/>
    <w:rsid w:val="00F1508C"/>
    <w:rsid w:val="00F43ED4"/>
    <w:rsid w:val="00F64609"/>
    <w:rsid w:val="00F97EA1"/>
    <w:rsid w:val="00FC1012"/>
    <w:rsid w:val="00FD1C53"/>
    <w:rsid w:val="00FE097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2DE7B-171B-44A1-9CA4-BA7965ED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E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1E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59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32"/>
    <w:pPr>
      <w:ind w:left="720"/>
      <w:contextualSpacing/>
    </w:pPr>
  </w:style>
  <w:style w:type="character" w:customStyle="1" w:styleId="Heading1Char">
    <w:name w:val="Heading 1 Char"/>
    <w:basedOn w:val="DefaultParagraphFont"/>
    <w:link w:val="Heading1"/>
    <w:uiPriority w:val="9"/>
    <w:rsid w:val="00101E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E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1EE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6592E"/>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6F0BC6"/>
    <w:rPr>
      <w:sz w:val="16"/>
      <w:szCs w:val="16"/>
    </w:rPr>
  </w:style>
  <w:style w:type="paragraph" w:styleId="CommentText">
    <w:name w:val="annotation text"/>
    <w:basedOn w:val="Normal"/>
    <w:link w:val="CommentTextChar"/>
    <w:uiPriority w:val="99"/>
    <w:semiHidden/>
    <w:unhideWhenUsed/>
    <w:rsid w:val="006F0BC6"/>
    <w:pPr>
      <w:spacing w:line="240" w:lineRule="auto"/>
    </w:pPr>
    <w:rPr>
      <w:sz w:val="20"/>
      <w:szCs w:val="20"/>
    </w:rPr>
  </w:style>
  <w:style w:type="character" w:customStyle="1" w:styleId="CommentTextChar">
    <w:name w:val="Comment Text Char"/>
    <w:basedOn w:val="DefaultParagraphFont"/>
    <w:link w:val="CommentText"/>
    <w:uiPriority w:val="99"/>
    <w:semiHidden/>
    <w:rsid w:val="006F0BC6"/>
    <w:rPr>
      <w:sz w:val="20"/>
      <w:szCs w:val="20"/>
    </w:rPr>
  </w:style>
  <w:style w:type="paragraph" w:styleId="CommentSubject">
    <w:name w:val="annotation subject"/>
    <w:basedOn w:val="CommentText"/>
    <w:next w:val="CommentText"/>
    <w:link w:val="CommentSubjectChar"/>
    <w:uiPriority w:val="99"/>
    <w:semiHidden/>
    <w:unhideWhenUsed/>
    <w:rsid w:val="006F0BC6"/>
    <w:rPr>
      <w:b/>
      <w:bCs/>
    </w:rPr>
  </w:style>
  <w:style w:type="character" w:customStyle="1" w:styleId="CommentSubjectChar">
    <w:name w:val="Comment Subject Char"/>
    <w:basedOn w:val="CommentTextChar"/>
    <w:link w:val="CommentSubject"/>
    <w:uiPriority w:val="99"/>
    <w:semiHidden/>
    <w:rsid w:val="006F0BC6"/>
    <w:rPr>
      <w:b/>
      <w:bCs/>
      <w:sz w:val="20"/>
      <w:szCs w:val="20"/>
    </w:rPr>
  </w:style>
  <w:style w:type="paragraph" w:styleId="BalloonText">
    <w:name w:val="Balloon Text"/>
    <w:basedOn w:val="Normal"/>
    <w:link w:val="BalloonTextChar"/>
    <w:uiPriority w:val="99"/>
    <w:semiHidden/>
    <w:unhideWhenUsed/>
    <w:rsid w:val="006F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C6"/>
    <w:rPr>
      <w:rFonts w:ascii="Segoe UI" w:hAnsi="Segoe UI" w:cs="Segoe UI"/>
      <w:sz w:val="18"/>
      <w:szCs w:val="18"/>
    </w:rPr>
  </w:style>
  <w:style w:type="character" w:styleId="Hyperlink">
    <w:name w:val="Hyperlink"/>
    <w:basedOn w:val="DefaultParagraphFont"/>
    <w:uiPriority w:val="99"/>
    <w:unhideWhenUsed/>
    <w:rsid w:val="00E327E6"/>
    <w:rPr>
      <w:color w:val="0563C1" w:themeColor="hyperlink"/>
      <w:u w:val="single"/>
    </w:rPr>
  </w:style>
  <w:style w:type="paragraph" w:styleId="NormalWeb">
    <w:name w:val="Normal (Web)"/>
    <w:basedOn w:val="Normal"/>
    <w:uiPriority w:val="99"/>
    <w:semiHidden/>
    <w:unhideWhenUsed/>
    <w:rsid w:val="00177D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compendiumld.open.ac.uk/"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elibrary.utas.edu.au/lor/items/b9601e34-805b-4aed-a90a-d75784c78b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dx.doi.org/10.1016/S0959-4752(96)00028-X" TargetMode="External"/><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hyperlink" Target="https://elibrary.utas.edu.au/lor/items/6bbdea88-270b-4aaf-8e03-5c7ac521e13b/1/"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687F25-AADB-4EAF-97E3-6B4443B7B39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A9204A5E-FA63-4151-AF49-E809933472CB}">
      <dgm:prSet phldrT="[Text]" custT="1"/>
      <dgm:spPr>
        <a:solidFill>
          <a:schemeClr val="tx1">
            <a:lumMod val="50000"/>
            <a:lumOff val="50000"/>
          </a:schemeClr>
        </a:solidFill>
      </dgm:spPr>
      <dgm:t>
        <a:bodyPr/>
        <a:lstStyle/>
        <a:p>
          <a:r>
            <a:rPr lang="en-AU" sz="1100"/>
            <a:t>Existing enablers </a:t>
          </a:r>
        </a:p>
      </dgm:t>
    </dgm:pt>
    <dgm:pt modelId="{0512D78C-794B-401A-A02A-A9E19DF0A8A6}" type="parTrans" cxnId="{6745CBB1-0DA8-4382-8626-69C2A013D46B}">
      <dgm:prSet/>
      <dgm:spPr/>
      <dgm:t>
        <a:bodyPr/>
        <a:lstStyle/>
        <a:p>
          <a:endParaRPr lang="en-AU"/>
        </a:p>
      </dgm:t>
    </dgm:pt>
    <dgm:pt modelId="{9E294361-D515-43C1-8F83-C903634DCB9D}" type="sibTrans" cxnId="{6745CBB1-0DA8-4382-8626-69C2A013D46B}">
      <dgm:prSet/>
      <dgm:spPr/>
      <dgm:t>
        <a:bodyPr/>
        <a:lstStyle/>
        <a:p>
          <a:endParaRPr lang="en-AU"/>
        </a:p>
      </dgm:t>
    </dgm:pt>
    <dgm:pt modelId="{D7E8A6AB-DA62-4F2C-840A-472056FDAB07}">
      <dgm:prSet phldrT="[Tex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AU" sz="900"/>
            <a:t> Threshold Learning Outcomes, Course Learning Outcomes and Qualification level curriculum mapping</a:t>
          </a:r>
        </a:p>
      </dgm:t>
    </dgm:pt>
    <dgm:pt modelId="{CBE273EE-FFFC-4C8F-BB87-0C5EAC5465A6}" type="parTrans" cxnId="{6EA5CE25-219B-40EC-B83E-B29621E5212C}">
      <dgm:prSet/>
      <dgm:spPr/>
      <dgm:t>
        <a:bodyPr/>
        <a:lstStyle/>
        <a:p>
          <a:endParaRPr lang="en-AU"/>
        </a:p>
      </dgm:t>
    </dgm:pt>
    <dgm:pt modelId="{E1FA6C4E-2FBA-4C62-A0C3-C9B12985A1B2}" type="sibTrans" cxnId="{6EA5CE25-219B-40EC-B83E-B29621E5212C}">
      <dgm:prSet/>
      <dgm:spPr/>
      <dgm:t>
        <a:bodyPr/>
        <a:lstStyle/>
        <a:p>
          <a:endParaRPr lang="en-AU"/>
        </a:p>
      </dgm:t>
    </dgm:pt>
    <dgm:pt modelId="{1823327E-3FBF-46C0-9882-6CE37765F908}">
      <dgm:prSet phldrT="[Text]" custT="1"/>
      <dgm:spPr>
        <a:solidFill>
          <a:schemeClr val="tx1">
            <a:lumMod val="50000"/>
            <a:lumOff val="50000"/>
          </a:schemeClr>
        </a:solidFill>
      </dgm:spPr>
      <dgm:t>
        <a:bodyPr/>
        <a:lstStyle/>
        <a:p>
          <a:r>
            <a:rPr lang="en-AU" sz="1100"/>
            <a:t>Next Frontier </a:t>
          </a:r>
        </a:p>
      </dgm:t>
    </dgm:pt>
    <dgm:pt modelId="{DC844D74-9D94-40B1-BD0E-F9B00258FE5B}" type="parTrans" cxnId="{A2E14DDF-9DB9-4DDE-897E-201B59887F7C}">
      <dgm:prSet/>
      <dgm:spPr/>
      <dgm:t>
        <a:bodyPr/>
        <a:lstStyle/>
        <a:p>
          <a:endParaRPr lang="en-AU"/>
        </a:p>
      </dgm:t>
    </dgm:pt>
    <dgm:pt modelId="{525C3B03-08C5-425F-975F-A47077842774}" type="sibTrans" cxnId="{A2E14DDF-9DB9-4DDE-897E-201B59887F7C}">
      <dgm:prSet/>
      <dgm:spPr/>
      <dgm:t>
        <a:bodyPr/>
        <a:lstStyle/>
        <a:p>
          <a:endParaRPr lang="en-AU"/>
        </a:p>
      </dgm:t>
    </dgm:pt>
    <dgm:pt modelId="{F9A3EB8D-B045-465A-B6BF-68E75D3150A6}">
      <dgm:prSet phldrT="[Tex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AU" sz="900"/>
            <a:t> Collective revision of curriculum by teaching teams</a:t>
          </a:r>
        </a:p>
      </dgm:t>
    </dgm:pt>
    <dgm:pt modelId="{C7F7B7EA-3E2D-48F5-BE02-6C2AD7E17012}" type="parTrans" cxnId="{04357403-0763-4D7C-B5A5-A7D08B224DCE}">
      <dgm:prSet/>
      <dgm:spPr/>
      <dgm:t>
        <a:bodyPr/>
        <a:lstStyle/>
        <a:p>
          <a:endParaRPr lang="en-AU"/>
        </a:p>
      </dgm:t>
    </dgm:pt>
    <dgm:pt modelId="{3D26557D-3DFB-422D-9C47-A85E60D1D936}" type="sibTrans" cxnId="{04357403-0763-4D7C-B5A5-A7D08B224DCE}">
      <dgm:prSet/>
      <dgm:spPr/>
      <dgm:t>
        <a:bodyPr/>
        <a:lstStyle/>
        <a:p>
          <a:endParaRPr lang="en-AU"/>
        </a:p>
      </dgm:t>
    </dgm:pt>
    <dgm:pt modelId="{D27F816D-6864-47C1-A0FD-A893B63EAACD}">
      <dgm:prSet phldrT="[Text]" custT="1"/>
      <dgm:spPr>
        <a:solidFill>
          <a:schemeClr val="tx1">
            <a:lumMod val="50000"/>
            <a:lumOff val="50000"/>
          </a:schemeClr>
        </a:solidFill>
      </dgm:spPr>
      <dgm:t>
        <a:bodyPr/>
        <a:lstStyle/>
        <a:p>
          <a:r>
            <a:rPr lang="en-AU" sz="1100"/>
            <a:t>Current Context </a:t>
          </a:r>
        </a:p>
      </dgm:t>
    </dgm:pt>
    <dgm:pt modelId="{7F2AADDE-059F-48E6-9095-78DED66E6B82}" type="parTrans" cxnId="{2C9E389D-176D-483A-8A30-7FA77EF9A66A}">
      <dgm:prSet/>
      <dgm:spPr/>
      <dgm:t>
        <a:bodyPr/>
        <a:lstStyle/>
        <a:p>
          <a:endParaRPr lang="en-AU"/>
        </a:p>
      </dgm:t>
    </dgm:pt>
    <dgm:pt modelId="{536AFB44-A6A8-48AE-B534-278B050D8159}" type="sibTrans" cxnId="{2C9E389D-176D-483A-8A30-7FA77EF9A66A}">
      <dgm:prSet/>
      <dgm:spPr/>
      <dgm:t>
        <a:bodyPr/>
        <a:lstStyle/>
        <a:p>
          <a:endParaRPr lang="en-AU"/>
        </a:p>
      </dgm:t>
    </dgm:pt>
    <dgm:pt modelId="{9E93A946-5E86-40AD-81DA-252DD1423FEE}">
      <dgm:prSet phldrT="[Tex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AU" sz="900"/>
            <a:t> Individual, siloed, autonomous approach</a:t>
          </a:r>
        </a:p>
      </dgm:t>
    </dgm:pt>
    <dgm:pt modelId="{4241B1BA-4462-4439-8B17-9DC0FE30B1D4}" type="parTrans" cxnId="{6CD1A192-8294-483E-91CF-F3BE3536A33F}">
      <dgm:prSet/>
      <dgm:spPr/>
      <dgm:t>
        <a:bodyPr/>
        <a:lstStyle/>
        <a:p>
          <a:endParaRPr lang="en-AU"/>
        </a:p>
      </dgm:t>
    </dgm:pt>
    <dgm:pt modelId="{ED992CD8-713D-47FD-81D0-933AFBFF755F}" type="sibTrans" cxnId="{6CD1A192-8294-483E-91CF-F3BE3536A33F}">
      <dgm:prSet/>
      <dgm:spPr/>
      <dgm:t>
        <a:bodyPr/>
        <a:lstStyle/>
        <a:p>
          <a:endParaRPr lang="en-AU"/>
        </a:p>
      </dgm:t>
    </dgm:pt>
    <dgm:pt modelId="{BC01A950-604A-4F52-8B9E-292B1D67A43E}">
      <dgm:prSet custT="1"/>
      <dgm:spPr>
        <a:solidFill>
          <a:schemeClr val="tx1">
            <a:lumMod val="50000"/>
            <a:lumOff val="50000"/>
          </a:schemeClr>
        </a:solidFill>
      </dgm:spPr>
      <dgm:t>
        <a:bodyPr/>
        <a:lstStyle/>
        <a:p>
          <a:r>
            <a:rPr lang="en-AU" sz="1100"/>
            <a:t>Available Tools </a:t>
          </a:r>
        </a:p>
      </dgm:t>
    </dgm:pt>
    <dgm:pt modelId="{3946EA17-6CBF-4068-9F1B-1DDD4008E3CE}" type="parTrans" cxnId="{CC3611D5-3863-42A0-B0BE-F5111B3C0A77}">
      <dgm:prSet/>
      <dgm:spPr/>
      <dgm:t>
        <a:bodyPr/>
        <a:lstStyle/>
        <a:p>
          <a:endParaRPr lang="en-AU"/>
        </a:p>
      </dgm:t>
    </dgm:pt>
    <dgm:pt modelId="{F18C0571-9314-47DC-9FC1-7056F3AD8102}" type="sibTrans" cxnId="{CC3611D5-3863-42A0-B0BE-F5111B3C0A77}">
      <dgm:prSet/>
      <dgm:spPr/>
      <dgm:t>
        <a:bodyPr/>
        <a:lstStyle/>
        <a:p>
          <a:endParaRPr lang="en-AU"/>
        </a:p>
      </dgm:t>
    </dgm:pt>
    <dgm:pt modelId="{D8BD730A-E1F9-4A35-923A-4D73C5236074}">
      <dgm:prSe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AU" sz="900"/>
            <a:t> Retrospective by nature, can inform re-design but are not design tools or processes</a:t>
          </a:r>
        </a:p>
      </dgm:t>
    </dgm:pt>
    <dgm:pt modelId="{DF787279-807D-4B6D-94DF-B6BB1F324A65}" type="parTrans" cxnId="{08B11908-1D2B-4E5C-8C5B-4F547CFECE6A}">
      <dgm:prSet/>
      <dgm:spPr/>
      <dgm:t>
        <a:bodyPr/>
        <a:lstStyle/>
        <a:p>
          <a:endParaRPr lang="en-AU"/>
        </a:p>
      </dgm:t>
    </dgm:pt>
    <dgm:pt modelId="{E9C77727-1D71-403E-9722-E8BBB052FE54}" type="sibTrans" cxnId="{08B11908-1D2B-4E5C-8C5B-4F547CFECE6A}">
      <dgm:prSet/>
      <dgm:spPr/>
      <dgm:t>
        <a:bodyPr/>
        <a:lstStyle/>
        <a:p>
          <a:endParaRPr lang="en-AU"/>
        </a:p>
      </dgm:t>
    </dgm:pt>
    <dgm:pt modelId="{E7E20F56-A7A7-4ED7-8CE8-D9572472F5B8}">
      <dgm:prSet custT="1"/>
      <dgm:spPr>
        <a:solidFill>
          <a:schemeClr val="tx1">
            <a:lumMod val="50000"/>
            <a:lumOff val="50000"/>
          </a:schemeClr>
        </a:solidFill>
      </dgm:spPr>
      <dgm:t>
        <a:bodyPr/>
        <a:lstStyle/>
        <a:p>
          <a:r>
            <a:rPr lang="en-AU" sz="1100"/>
            <a:t>Gap</a:t>
          </a:r>
        </a:p>
      </dgm:t>
    </dgm:pt>
    <dgm:pt modelId="{53309EE7-97B2-4B0C-A76C-2058B6312699}" type="parTrans" cxnId="{1D989575-27EF-42B3-9E33-7D84C8E1C39D}">
      <dgm:prSet/>
      <dgm:spPr/>
      <dgm:t>
        <a:bodyPr/>
        <a:lstStyle/>
        <a:p>
          <a:endParaRPr lang="en-AU"/>
        </a:p>
      </dgm:t>
    </dgm:pt>
    <dgm:pt modelId="{0D2FAB26-3E59-4AD4-B249-C7960B34EF24}" type="sibTrans" cxnId="{1D989575-27EF-42B3-9E33-7D84C8E1C39D}">
      <dgm:prSet/>
      <dgm:spPr/>
      <dgm:t>
        <a:bodyPr/>
        <a:lstStyle/>
        <a:p>
          <a:endParaRPr lang="en-AU"/>
        </a:p>
      </dgm:t>
    </dgm:pt>
    <dgm:pt modelId="{51218458-BC47-47BE-9CF0-4A85D52B90E3}">
      <dgm:prSe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AU" sz="900"/>
            <a:t> Learning design is often not visible and the processes used are not replicable </a:t>
          </a:r>
        </a:p>
      </dgm:t>
    </dgm:pt>
    <dgm:pt modelId="{07F40D0B-349F-4C8E-BD4E-487440C59624}" type="parTrans" cxnId="{CDB342B5-BC1D-409D-B315-67BFB4F7A0AF}">
      <dgm:prSet/>
      <dgm:spPr/>
      <dgm:t>
        <a:bodyPr/>
        <a:lstStyle/>
        <a:p>
          <a:endParaRPr lang="en-AU"/>
        </a:p>
      </dgm:t>
    </dgm:pt>
    <dgm:pt modelId="{FACB2F1B-5714-47A0-98EB-8480EBD14B3B}" type="sibTrans" cxnId="{CDB342B5-BC1D-409D-B315-67BFB4F7A0AF}">
      <dgm:prSet/>
      <dgm:spPr/>
      <dgm:t>
        <a:bodyPr/>
        <a:lstStyle/>
        <a:p>
          <a:endParaRPr lang="en-AU"/>
        </a:p>
      </dgm:t>
    </dgm:pt>
    <dgm:pt modelId="{9CBAAE85-725D-4713-A35E-E1887C84171D}">
      <dgm:prSet custT="1"/>
      <dgm:spPr>
        <a:solidFill>
          <a:schemeClr val="tx1">
            <a:lumMod val="50000"/>
            <a:lumOff val="50000"/>
          </a:schemeClr>
        </a:solidFill>
      </dgm:spPr>
      <dgm:t>
        <a:bodyPr/>
        <a:lstStyle/>
        <a:p>
          <a:r>
            <a:rPr lang="en-AU" sz="1100"/>
            <a:t>Mainstream Learning Design </a:t>
          </a:r>
        </a:p>
      </dgm:t>
    </dgm:pt>
    <dgm:pt modelId="{570202FD-9614-4D17-8A0B-AEDD7A1BF398}" type="parTrans" cxnId="{785A02DF-D423-48F0-83A0-6C31E5C37D3D}">
      <dgm:prSet/>
      <dgm:spPr/>
      <dgm:t>
        <a:bodyPr/>
        <a:lstStyle/>
        <a:p>
          <a:endParaRPr lang="en-AU"/>
        </a:p>
      </dgm:t>
    </dgm:pt>
    <dgm:pt modelId="{16E91BD0-FB9A-4684-BD32-C7EBF47B4BAB}" type="sibTrans" cxnId="{785A02DF-D423-48F0-83A0-6C31E5C37D3D}">
      <dgm:prSet/>
      <dgm:spPr/>
      <dgm:t>
        <a:bodyPr/>
        <a:lstStyle/>
        <a:p>
          <a:endParaRPr lang="en-AU"/>
        </a:p>
      </dgm:t>
    </dgm:pt>
    <dgm:pt modelId="{055D7400-595C-409D-A828-831A7908549C}">
      <dgm:prSet custT="1"/>
      <dgm:spPr>
        <a:solidFill>
          <a:schemeClr val="tx1">
            <a:lumMod val="50000"/>
            <a:lumOff val="50000"/>
          </a:schemeClr>
        </a:solidFill>
      </dgm:spPr>
      <dgm:t>
        <a:bodyPr/>
        <a:lstStyle/>
        <a:p>
          <a:r>
            <a:rPr lang="en-AU" sz="1100"/>
            <a:t>What is required </a:t>
          </a:r>
        </a:p>
      </dgm:t>
    </dgm:pt>
    <dgm:pt modelId="{9F1D160E-7489-4E3C-897E-24747206C425}" type="parTrans" cxnId="{3A1F9117-3549-4E87-8D01-014C92917BBD}">
      <dgm:prSet/>
      <dgm:spPr/>
      <dgm:t>
        <a:bodyPr/>
        <a:lstStyle/>
        <a:p>
          <a:endParaRPr lang="en-AU"/>
        </a:p>
      </dgm:t>
    </dgm:pt>
    <dgm:pt modelId="{87B7C1B8-ECEF-4F9B-9FB1-EBD80F22B42A}" type="sibTrans" cxnId="{3A1F9117-3549-4E87-8D01-014C92917BBD}">
      <dgm:prSet/>
      <dgm:spPr/>
      <dgm:t>
        <a:bodyPr/>
        <a:lstStyle/>
        <a:p>
          <a:endParaRPr lang="en-AU"/>
        </a:p>
      </dgm:t>
    </dgm:pt>
    <dgm:pt modelId="{E6FF73D0-6931-43CB-8ECC-AFCF3AF621A7}">
      <dgm:prSet custT="1"/>
      <dgm:spPr>
        <a:solidFill>
          <a:schemeClr val="tx1">
            <a:lumMod val="50000"/>
            <a:lumOff val="50000"/>
          </a:schemeClr>
        </a:solidFill>
      </dgm:spPr>
      <dgm:t>
        <a:bodyPr/>
        <a:lstStyle/>
        <a:p>
          <a:r>
            <a:rPr lang="en-AU" sz="1100"/>
            <a:t>Replicable Learning Design Processes </a:t>
          </a:r>
        </a:p>
      </dgm:t>
    </dgm:pt>
    <dgm:pt modelId="{501BA5C6-A825-4601-B7F3-CF95E9144DB2}" type="parTrans" cxnId="{94B1F08C-8058-4EB5-A92F-B09817AC28E0}">
      <dgm:prSet/>
      <dgm:spPr/>
      <dgm:t>
        <a:bodyPr/>
        <a:lstStyle/>
        <a:p>
          <a:endParaRPr lang="en-AU"/>
        </a:p>
      </dgm:t>
    </dgm:pt>
    <dgm:pt modelId="{6CF9B8DF-362F-4FCD-9691-BAD365487656}" type="sibTrans" cxnId="{94B1F08C-8058-4EB5-A92F-B09817AC28E0}">
      <dgm:prSet/>
      <dgm:spPr/>
      <dgm:t>
        <a:bodyPr/>
        <a:lstStyle/>
        <a:p>
          <a:endParaRPr lang="en-AU"/>
        </a:p>
      </dgm:t>
    </dgm:pt>
    <dgm:pt modelId="{91E50276-36A6-4957-97C6-C8CEDEE3D8DB}">
      <dgm:prSet custT="1"/>
      <dgm:spPr>
        <a:solidFill>
          <a:schemeClr val="tx1">
            <a:lumMod val="50000"/>
            <a:lumOff val="50000"/>
          </a:schemeClr>
        </a:solidFill>
      </dgm:spPr>
      <dgm:t>
        <a:bodyPr/>
        <a:lstStyle/>
        <a:p>
          <a:r>
            <a:rPr lang="en-AU" sz="1100"/>
            <a:t>Objective</a:t>
          </a:r>
        </a:p>
      </dgm:t>
    </dgm:pt>
    <dgm:pt modelId="{8544DE64-D1A2-4E0D-BED6-CBCFD5B033A2}" type="parTrans" cxnId="{0F351ED1-A0C3-4D10-B381-9D002E015D3A}">
      <dgm:prSet/>
      <dgm:spPr/>
      <dgm:t>
        <a:bodyPr/>
        <a:lstStyle/>
        <a:p>
          <a:endParaRPr lang="en-AU"/>
        </a:p>
      </dgm:t>
    </dgm:pt>
    <dgm:pt modelId="{1A7A0BE8-5539-4DAB-AB55-F9113A251316}" type="sibTrans" cxnId="{0F351ED1-A0C3-4D10-B381-9D002E015D3A}">
      <dgm:prSet/>
      <dgm:spPr/>
      <dgm:t>
        <a:bodyPr/>
        <a:lstStyle/>
        <a:p>
          <a:endParaRPr lang="en-AU"/>
        </a:p>
      </dgm:t>
    </dgm:pt>
    <dgm:pt modelId="{305FBDA7-7A43-4470-80EE-8145927C46F8}">
      <dgm:prSe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AU" sz="900"/>
            <a:t> Current focus is on providing academics with pedagogical guidance</a:t>
          </a:r>
        </a:p>
      </dgm:t>
    </dgm:pt>
    <dgm:pt modelId="{95F4C679-743C-4BA3-B838-EA1EAD8489F5}" type="parTrans" cxnId="{EE5B012C-7F0A-4014-93EB-953C985B4F2C}">
      <dgm:prSet/>
      <dgm:spPr/>
      <dgm:t>
        <a:bodyPr/>
        <a:lstStyle/>
        <a:p>
          <a:endParaRPr lang="en-AU"/>
        </a:p>
      </dgm:t>
    </dgm:pt>
    <dgm:pt modelId="{37329A97-7370-45EC-8454-729E5B622F6C}" type="sibTrans" cxnId="{EE5B012C-7F0A-4014-93EB-953C985B4F2C}">
      <dgm:prSet/>
      <dgm:spPr/>
      <dgm:t>
        <a:bodyPr/>
        <a:lstStyle/>
        <a:p>
          <a:endParaRPr lang="en-AU"/>
        </a:p>
      </dgm:t>
    </dgm:pt>
    <dgm:pt modelId="{61A43FF5-7705-47A5-9EF8-4A772506A550}">
      <dgm:prSe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AU" sz="900"/>
            <a:t> Low tech, immediate means for academics to simultaneously design and review unit level curriculum</a:t>
          </a:r>
        </a:p>
      </dgm:t>
    </dgm:pt>
    <dgm:pt modelId="{78AB6ABF-64B8-4B70-9E02-70D83663D950}" type="parTrans" cxnId="{87D3FA82-CD43-4A16-B7F3-B547459DC4EC}">
      <dgm:prSet/>
      <dgm:spPr/>
      <dgm:t>
        <a:bodyPr/>
        <a:lstStyle/>
        <a:p>
          <a:endParaRPr lang="en-AU"/>
        </a:p>
      </dgm:t>
    </dgm:pt>
    <dgm:pt modelId="{9E628438-063D-42C4-98DD-205F540E9F42}" type="sibTrans" cxnId="{87D3FA82-CD43-4A16-B7F3-B547459DC4EC}">
      <dgm:prSet/>
      <dgm:spPr/>
      <dgm:t>
        <a:bodyPr/>
        <a:lstStyle/>
        <a:p>
          <a:endParaRPr lang="en-AU"/>
        </a:p>
      </dgm:t>
    </dgm:pt>
    <dgm:pt modelId="{B7257617-D524-4F26-BA1B-9A9D24FE0C27}">
      <dgm:prSe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AU" sz="900"/>
            <a:t> Enable academics to articulate their learning design based on principles of constructive alignment</a:t>
          </a:r>
        </a:p>
      </dgm:t>
    </dgm:pt>
    <dgm:pt modelId="{D041358C-7D60-459B-BE9E-6C7C742E96D9}" type="parTrans" cxnId="{2CF35C08-36BD-40D4-87F8-9E318751A5E4}">
      <dgm:prSet/>
      <dgm:spPr/>
      <dgm:t>
        <a:bodyPr/>
        <a:lstStyle/>
        <a:p>
          <a:endParaRPr lang="en-AU"/>
        </a:p>
      </dgm:t>
    </dgm:pt>
    <dgm:pt modelId="{51807892-AE03-4AC5-950F-F5A682C96B56}" type="sibTrans" cxnId="{2CF35C08-36BD-40D4-87F8-9E318751A5E4}">
      <dgm:prSet/>
      <dgm:spPr/>
      <dgm:t>
        <a:bodyPr/>
        <a:lstStyle/>
        <a:p>
          <a:endParaRPr lang="en-AU"/>
        </a:p>
      </dgm:t>
    </dgm:pt>
    <dgm:pt modelId="{0FDD8CF8-CE2F-4936-ABEA-EAEB15C3BCBA}">
      <dgm:prSet custT="1">
        <dgm:style>
          <a:lnRef idx="2">
            <a:schemeClr val="dk1"/>
          </a:lnRef>
          <a:fillRef idx="1">
            <a:schemeClr val="lt1"/>
          </a:fillRef>
          <a:effectRef idx="0">
            <a:schemeClr val="dk1"/>
          </a:effectRef>
          <a:fontRef idx="minor">
            <a:schemeClr val="dk1"/>
          </a:fontRef>
        </dgm:style>
      </dgm:prSet>
      <dgm:spPr>
        <a:ln>
          <a:solidFill>
            <a:schemeClr val="bg1">
              <a:lumMod val="50000"/>
            </a:schemeClr>
          </a:solidFill>
        </a:ln>
      </dgm:spPr>
      <dgm:t>
        <a:bodyPr/>
        <a:lstStyle/>
        <a:p>
          <a:r>
            <a:rPr lang="en-AU" sz="900"/>
            <a:t> Provide UTAS academics with a suite of processes and tools which enable negotiated principles informed curriculum renewal</a:t>
          </a:r>
        </a:p>
      </dgm:t>
    </dgm:pt>
    <dgm:pt modelId="{29433FAC-D0A6-446B-BA32-A81956644648}" type="parTrans" cxnId="{EE9D6D87-2BAC-4972-8202-D516717814FD}">
      <dgm:prSet/>
      <dgm:spPr/>
      <dgm:t>
        <a:bodyPr/>
        <a:lstStyle/>
        <a:p>
          <a:endParaRPr lang="en-AU"/>
        </a:p>
      </dgm:t>
    </dgm:pt>
    <dgm:pt modelId="{6242DAAA-96BB-4EC4-8433-674036D9252E}" type="sibTrans" cxnId="{EE9D6D87-2BAC-4972-8202-D516717814FD}">
      <dgm:prSet/>
      <dgm:spPr/>
      <dgm:t>
        <a:bodyPr/>
        <a:lstStyle/>
        <a:p>
          <a:endParaRPr lang="en-AU"/>
        </a:p>
      </dgm:t>
    </dgm:pt>
    <dgm:pt modelId="{60AB2D3A-FB48-4ED2-A933-033CF40D6A9D}" type="pres">
      <dgm:prSet presAssocID="{8D687F25-AADB-4EAF-97E3-6B4443B7B393}" presName="Name0" presStyleCnt="0">
        <dgm:presLayoutVars>
          <dgm:dir/>
          <dgm:animLvl val="lvl"/>
          <dgm:resizeHandles val="exact"/>
        </dgm:presLayoutVars>
      </dgm:prSet>
      <dgm:spPr/>
      <dgm:t>
        <a:bodyPr/>
        <a:lstStyle/>
        <a:p>
          <a:endParaRPr lang="en-AU"/>
        </a:p>
      </dgm:t>
    </dgm:pt>
    <dgm:pt modelId="{AF134D58-EB9E-4843-A717-E348BD4B23E6}" type="pres">
      <dgm:prSet presAssocID="{A9204A5E-FA63-4151-AF49-E809933472CB}" presName="linNode" presStyleCnt="0"/>
      <dgm:spPr/>
    </dgm:pt>
    <dgm:pt modelId="{13DDC579-8710-4F58-A744-578A57840194}" type="pres">
      <dgm:prSet presAssocID="{A9204A5E-FA63-4151-AF49-E809933472CB}" presName="parentText" presStyleLbl="node1" presStyleIdx="0" presStyleCnt="9">
        <dgm:presLayoutVars>
          <dgm:chMax val="1"/>
          <dgm:bulletEnabled val="1"/>
        </dgm:presLayoutVars>
      </dgm:prSet>
      <dgm:spPr/>
      <dgm:t>
        <a:bodyPr/>
        <a:lstStyle/>
        <a:p>
          <a:endParaRPr lang="en-AU"/>
        </a:p>
      </dgm:t>
    </dgm:pt>
    <dgm:pt modelId="{052EA0B4-0058-4A59-8DEB-BBF00ACFC657}" type="pres">
      <dgm:prSet presAssocID="{A9204A5E-FA63-4151-AF49-E809933472CB}" presName="descendantText" presStyleLbl="alignAccFollowNode1" presStyleIdx="0" presStyleCnt="9">
        <dgm:presLayoutVars>
          <dgm:bulletEnabled val="1"/>
        </dgm:presLayoutVars>
      </dgm:prSet>
      <dgm:spPr/>
      <dgm:t>
        <a:bodyPr/>
        <a:lstStyle/>
        <a:p>
          <a:endParaRPr lang="en-AU"/>
        </a:p>
      </dgm:t>
    </dgm:pt>
    <dgm:pt modelId="{D3C913D8-D9E2-49E0-AA1C-581DD090F66E}" type="pres">
      <dgm:prSet presAssocID="{9E294361-D515-43C1-8F83-C903634DCB9D}" presName="sp" presStyleCnt="0"/>
      <dgm:spPr/>
    </dgm:pt>
    <dgm:pt modelId="{401E81B7-F24C-402E-91B8-F89FF6B8A654}" type="pres">
      <dgm:prSet presAssocID="{1823327E-3FBF-46C0-9882-6CE37765F908}" presName="linNode" presStyleCnt="0"/>
      <dgm:spPr/>
    </dgm:pt>
    <dgm:pt modelId="{A8A51778-10AD-42AB-A6E1-49F655DBAFE9}" type="pres">
      <dgm:prSet presAssocID="{1823327E-3FBF-46C0-9882-6CE37765F908}" presName="parentText" presStyleLbl="node1" presStyleIdx="1" presStyleCnt="9">
        <dgm:presLayoutVars>
          <dgm:chMax val="1"/>
          <dgm:bulletEnabled val="1"/>
        </dgm:presLayoutVars>
      </dgm:prSet>
      <dgm:spPr/>
      <dgm:t>
        <a:bodyPr/>
        <a:lstStyle/>
        <a:p>
          <a:endParaRPr lang="en-AU"/>
        </a:p>
      </dgm:t>
    </dgm:pt>
    <dgm:pt modelId="{A8852B88-D332-42E6-9E46-0494DD625061}" type="pres">
      <dgm:prSet presAssocID="{1823327E-3FBF-46C0-9882-6CE37765F908}" presName="descendantText" presStyleLbl="alignAccFollowNode1" presStyleIdx="1" presStyleCnt="9">
        <dgm:presLayoutVars>
          <dgm:bulletEnabled val="1"/>
        </dgm:presLayoutVars>
      </dgm:prSet>
      <dgm:spPr/>
      <dgm:t>
        <a:bodyPr/>
        <a:lstStyle/>
        <a:p>
          <a:endParaRPr lang="en-AU"/>
        </a:p>
      </dgm:t>
    </dgm:pt>
    <dgm:pt modelId="{B1370983-8CF4-45AA-9D46-8B6AF629C332}" type="pres">
      <dgm:prSet presAssocID="{525C3B03-08C5-425F-975F-A47077842774}" presName="sp" presStyleCnt="0"/>
      <dgm:spPr/>
    </dgm:pt>
    <dgm:pt modelId="{AE046104-6379-4F30-90A5-977396B199B0}" type="pres">
      <dgm:prSet presAssocID="{D27F816D-6864-47C1-A0FD-A893B63EAACD}" presName="linNode" presStyleCnt="0"/>
      <dgm:spPr/>
    </dgm:pt>
    <dgm:pt modelId="{C6E072CC-B27E-4A45-8E6A-691FF037B714}" type="pres">
      <dgm:prSet presAssocID="{D27F816D-6864-47C1-A0FD-A893B63EAACD}" presName="parentText" presStyleLbl="node1" presStyleIdx="2" presStyleCnt="9">
        <dgm:presLayoutVars>
          <dgm:chMax val="1"/>
          <dgm:bulletEnabled val="1"/>
        </dgm:presLayoutVars>
      </dgm:prSet>
      <dgm:spPr/>
      <dgm:t>
        <a:bodyPr/>
        <a:lstStyle/>
        <a:p>
          <a:endParaRPr lang="en-AU"/>
        </a:p>
      </dgm:t>
    </dgm:pt>
    <dgm:pt modelId="{90AC2220-3B22-4B2B-93F0-3AA5DBF8501E}" type="pres">
      <dgm:prSet presAssocID="{D27F816D-6864-47C1-A0FD-A893B63EAACD}" presName="descendantText" presStyleLbl="alignAccFollowNode1" presStyleIdx="2" presStyleCnt="9">
        <dgm:presLayoutVars>
          <dgm:bulletEnabled val="1"/>
        </dgm:presLayoutVars>
      </dgm:prSet>
      <dgm:spPr/>
      <dgm:t>
        <a:bodyPr/>
        <a:lstStyle/>
        <a:p>
          <a:endParaRPr lang="en-AU"/>
        </a:p>
      </dgm:t>
    </dgm:pt>
    <dgm:pt modelId="{83E522AD-4018-47B2-9E19-983ACDC32C3D}" type="pres">
      <dgm:prSet presAssocID="{536AFB44-A6A8-48AE-B534-278B050D8159}" presName="sp" presStyleCnt="0"/>
      <dgm:spPr/>
    </dgm:pt>
    <dgm:pt modelId="{422FA66A-1355-472E-877A-E872611B2D37}" type="pres">
      <dgm:prSet presAssocID="{BC01A950-604A-4F52-8B9E-292B1D67A43E}" presName="linNode" presStyleCnt="0"/>
      <dgm:spPr/>
    </dgm:pt>
    <dgm:pt modelId="{66219A67-486D-4F87-873F-0CA994751897}" type="pres">
      <dgm:prSet presAssocID="{BC01A950-604A-4F52-8B9E-292B1D67A43E}" presName="parentText" presStyleLbl="node1" presStyleIdx="3" presStyleCnt="9">
        <dgm:presLayoutVars>
          <dgm:chMax val="1"/>
          <dgm:bulletEnabled val="1"/>
        </dgm:presLayoutVars>
      </dgm:prSet>
      <dgm:spPr/>
      <dgm:t>
        <a:bodyPr/>
        <a:lstStyle/>
        <a:p>
          <a:endParaRPr lang="en-AU"/>
        </a:p>
      </dgm:t>
    </dgm:pt>
    <dgm:pt modelId="{AEEFBBCB-8E62-43EC-8185-FCA595FE47A5}" type="pres">
      <dgm:prSet presAssocID="{BC01A950-604A-4F52-8B9E-292B1D67A43E}" presName="descendantText" presStyleLbl="alignAccFollowNode1" presStyleIdx="3" presStyleCnt="9">
        <dgm:presLayoutVars>
          <dgm:bulletEnabled val="1"/>
        </dgm:presLayoutVars>
      </dgm:prSet>
      <dgm:spPr/>
      <dgm:t>
        <a:bodyPr/>
        <a:lstStyle/>
        <a:p>
          <a:endParaRPr lang="en-AU"/>
        </a:p>
      </dgm:t>
    </dgm:pt>
    <dgm:pt modelId="{BF0002EF-8B47-4AC4-BFAD-7D4201A2D1B0}" type="pres">
      <dgm:prSet presAssocID="{F18C0571-9314-47DC-9FC1-7056F3AD8102}" presName="sp" presStyleCnt="0"/>
      <dgm:spPr/>
    </dgm:pt>
    <dgm:pt modelId="{AA5E7F48-F512-4142-9502-5447FAD69CF0}" type="pres">
      <dgm:prSet presAssocID="{E7E20F56-A7A7-4ED7-8CE8-D9572472F5B8}" presName="linNode" presStyleCnt="0"/>
      <dgm:spPr/>
    </dgm:pt>
    <dgm:pt modelId="{5E7F8AE3-7170-418E-A90A-D56F1B144873}" type="pres">
      <dgm:prSet presAssocID="{E7E20F56-A7A7-4ED7-8CE8-D9572472F5B8}" presName="parentText" presStyleLbl="node1" presStyleIdx="4" presStyleCnt="9">
        <dgm:presLayoutVars>
          <dgm:chMax val="1"/>
          <dgm:bulletEnabled val="1"/>
        </dgm:presLayoutVars>
      </dgm:prSet>
      <dgm:spPr/>
      <dgm:t>
        <a:bodyPr/>
        <a:lstStyle/>
        <a:p>
          <a:endParaRPr lang="en-AU"/>
        </a:p>
      </dgm:t>
    </dgm:pt>
    <dgm:pt modelId="{1409E249-EE85-4A19-B376-CE17473EE2B2}" type="pres">
      <dgm:prSet presAssocID="{E7E20F56-A7A7-4ED7-8CE8-D9572472F5B8}" presName="descendantText" presStyleLbl="alignAccFollowNode1" presStyleIdx="4" presStyleCnt="9">
        <dgm:presLayoutVars>
          <dgm:bulletEnabled val="1"/>
        </dgm:presLayoutVars>
      </dgm:prSet>
      <dgm:spPr/>
      <dgm:t>
        <a:bodyPr/>
        <a:lstStyle/>
        <a:p>
          <a:endParaRPr lang="en-AU"/>
        </a:p>
      </dgm:t>
    </dgm:pt>
    <dgm:pt modelId="{3109AA80-50D7-4DF5-997F-711AED41519C}" type="pres">
      <dgm:prSet presAssocID="{0D2FAB26-3E59-4AD4-B249-C7960B34EF24}" presName="sp" presStyleCnt="0"/>
      <dgm:spPr/>
    </dgm:pt>
    <dgm:pt modelId="{1315B1E4-CA96-4682-AD4B-915B6F770371}" type="pres">
      <dgm:prSet presAssocID="{9CBAAE85-725D-4713-A35E-E1887C84171D}" presName="linNode" presStyleCnt="0"/>
      <dgm:spPr/>
    </dgm:pt>
    <dgm:pt modelId="{9D15992F-B3EE-4447-A8DA-10EDEF8BD9E8}" type="pres">
      <dgm:prSet presAssocID="{9CBAAE85-725D-4713-A35E-E1887C84171D}" presName="parentText" presStyleLbl="node1" presStyleIdx="5" presStyleCnt="9">
        <dgm:presLayoutVars>
          <dgm:chMax val="1"/>
          <dgm:bulletEnabled val="1"/>
        </dgm:presLayoutVars>
      </dgm:prSet>
      <dgm:spPr/>
      <dgm:t>
        <a:bodyPr/>
        <a:lstStyle/>
        <a:p>
          <a:endParaRPr lang="en-AU"/>
        </a:p>
      </dgm:t>
    </dgm:pt>
    <dgm:pt modelId="{CA3EB1B2-3922-4159-83E8-7FBF4AB5D328}" type="pres">
      <dgm:prSet presAssocID="{9CBAAE85-725D-4713-A35E-E1887C84171D}" presName="descendantText" presStyleLbl="alignAccFollowNode1" presStyleIdx="5" presStyleCnt="9">
        <dgm:presLayoutVars>
          <dgm:bulletEnabled val="1"/>
        </dgm:presLayoutVars>
      </dgm:prSet>
      <dgm:spPr/>
      <dgm:t>
        <a:bodyPr/>
        <a:lstStyle/>
        <a:p>
          <a:endParaRPr lang="en-AU"/>
        </a:p>
      </dgm:t>
    </dgm:pt>
    <dgm:pt modelId="{B0A542CC-7610-49A1-A340-6A4CCB0A46A2}" type="pres">
      <dgm:prSet presAssocID="{16E91BD0-FB9A-4684-BD32-C7EBF47B4BAB}" presName="sp" presStyleCnt="0"/>
      <dgm:spPr/>
    </dgm:pt>
    <dgm:pt modelId="{2DFE877B-33C9-4165-9FB7-763C6453AD34}" type="pres">
      <dgm:prSet presAssocID="{055D7400-595C-409D-A828-831A7908549C}" presName="linNode" presStyleCnt="0"/>
      <dgm:spPr/>
    </dgm:pt>
    <dgm:pt modelId="{40202EE5-FA5D-4C04-896C-219C8B6DA63B}" type="pres">
      <dgm:prSet presAssocID="{055D7400-595C-409D-A828-831A7908549C}" presName="parentText" presStyleLbl="node1" presStyleIdx="6" presStyleCnt="9">
        <dgm:presLayoutVars>
          <dgm:chMax val="1"/>
          <dgm:bulletEnabled val="1"/>
        </dgm:presLayoutVars>
      </dgm:prSet>
      <dgm:spPr/>
      <dgm:t>
        <a:bodyPr/>
        <a:lstStyle/>
        <a:p>
          <a:endParaRPr lang="en-AU"/>
        </a:p>
      </dgm:t>
    </dgm:pt>
    <dgm:pt modelId="{C47F06BC-6EBD-4494-B37C-94439B064E1C}" type="pres">
      <dgm:prSet presAssocID="{055D7400-595C-409D-A828-831A7908549C}" presName="descendantText" presStyleLbl="alignAccFollowNode1" presStyleIdx="6" presStyleCnt="9">
        <dgm:presLayoutVars>
          <dgm:bulletEnabled val="1"/>
        </dgm:presLayoutVars>
      </dgm:prSet>
      <dgm:spPr/>
      <dgm:t>
        <a:bodyPr/>
        <a:lstStyle/>
        <a:p>
          <a:endParaRPr lang="en-AU"/>
        </a:p>
      </dgm:t>
    </dgm:pt>
    <dgm:pt modelId="{1A98BC3D-5E49-4EC5-B05D-CB77CBFAE5EF}" type="pres">
      <dgm:prSet presAssocID="{87B7C1B8-ECEF-4F9B-9FB1-EBD80F22B42A}" presName="sp" presStyleCnt="0"/>
      <dgm:spPr/>
    </dgm:pt>
    <dgm:pt modelId="{7DFA45A0-F56B-4774-8381-D795932EAA56}" type="pres">
      <dgm:prSet presAssocID="{E6FF73D0-6931-43CB-8ECC-AFCF3AF621A7}" presName="linNode" presStyleCnt="0"/>
      <dgm:spPr/>
    </dgm:pt>
    <dgm:pt modelId="{2670D935-2D82-4079-99A1-F42B1B899D4E}" type="pres">
      <dgm:prSet presAssocID="{E6FF73D0-6931-43CB-8ECC-AFCF3AF621A7}" presName="parentText" presStyleLbl="node1" presStyleIdx="7" presStyleCnt="9">
        <dgm:presLayoutVars>
          <dgm:chMax val="1"/>
          <dgm:bulletEnabled val="1"/>
        </dgm:presLayoutVars>
      </dgm:prSet>
      <dgm:spPr/>
      <dgm:t>
        <a:bodyPr/>
        <a:lstStyle/>
        <a:p>
          <a:endParaRPr lang="en-AU"/>
        </a:p>
      </dgm:t>
    </dgm:pt>
    <dgm:pt modelId="{323A4A1A-314A-461F-B18B-47355268079A}" type="pres">
      <dgm:prSet presAssocID="{E6FF73D0-6931-43CB-8ECC-AFCF3AF621A7}" presName="descendantText" presStyleLbl="alignAccFollowNode1" presStyleIdx="7" presStyleCnt="9">
        <dgm:presLayoutVars>
          <dgm:bulletEnabled val="1"/>
        </dgm:presLayoutVars>
      </dgm:prSet>
      <dgm:spPr/>
      <dgm:t>
        <a:bodyPr/>
        <a:lstStyle/>
        <a:p>
          <a:endParaRPr lang="en-AU"/>
        </a:p>
      </dgm:t>
    </dgm:pt>
    <dgm:pt modelId="{DF7A2A7F-4953-4FBE-8342-F49C3E39BD49}" type="pres">
      <dgm:prSet presAssocID="{6CF9B8DF-362F-4FCD-9691-BAD365487656}" presName="sp" presStyleCnt="0"/>
      <dgm:spPr/>
    </dgm:pt>
    <dgm:pt modelId="{6535813B-D7EE-4D0F-8395-5F368A53C439}" type="pres">
      <dgm:prSet presAssocID="{91E50276-36A6-4957-97C6-C8CEDEE3D8DB}" presName="linNode" presStyleCnt="0"/>
      <dgm:spPr/>
    </dgm:pt>
    <dgm:pt modelId="{25B59617-6B29-4359-A7F7-8041AD957266}" type="pres">
      <dgm:prSet presAssocID="{91E50276-36A6-4957-97C6-C8CEDEE3D8DB}" presName="parentText" presStyleLbl="node1" presStyleIdx="8" presStyleCnt="9">
        <dgm:presLayoutVars>
          <dgm:chMax val="1"/>
          <dgm:bulletEnabled val="1"/>
        </dgm:presLayoutVars>
      </dgm:prSet>
      <dgm:spPr/>
      <dgm:t>
        <a:bodyPr/>
        <a:lstStyle/>
        <a:p>
          <a:endParaRPr lang="en-AU"/>
        </a:p>
      </dgm:t>
    </dgm:pt>
    <dgm:pt modelId="{2CED8DE4-5B49-4B48-988F-0C3960353F88}" type="pres">
      <dgm:prSet presAssocID="{91E50276-36A6-4957-97C6-C8CEDEE3D8DB}" presName="descendantText" presStyleLbl="alignAccFollowNode1" presStyleIdx="8" presStyleCnt="9">
        <dgm:presLayoutVars>
          <dgm:bulletEnabled val="1"/>
        </dgm:presLayoutVars>
      </dgm:prSet>
      <dgm:spPr/>
      <dgm:t>
        <a:bodyPr/>
        <a:lstStyle/>
        <a:p>
          <a:endParaRPr lang="en-AU"/>
        </a:p>
      </dgm:t>
    </dgm:pt>
  </dgm:ptLst>
  <dgm:cxnLst>
    <dgm:cxn modelId="{3A1F9117-3549-4E87-8D01-014C92917BBD}" srcId="{8D687F25-AADB-4EAF-97E3-6B4443B7B393}" destId="{055D7400-595C-409D-A828-831A7908549C}" srcOrd="6" destOrd="0" parTransId="{9F1D160E-7489-4E3C-897E-24747206C425}" sibTransId="{87B7C1B8-ECEF-4F9B-9FB1-EBD80F22B42A}"/>
    <dgm:cxn modelId="{B0614F38-2957-4816-8410-1F45E7C0D819}" type="presOf" srcId="{91E50276-36A6-4957-97C6-C8CEDEE3D8DB}" destId="{25B59617-6B29-4359-A7F7-8041AD957266}" srcOrd="0" destOrd="0" presId="urn:microsoft.com/office/officeart/2005/8/layout/vList5"/>
    <dgm:cxn modelId="{2AB45F03-8EF7-4915-A47C-1CBEF508942F}" type="presOf" srcId="{51218458-BC47-47BE-9CF0-4A85D52B90E3}" destId="{1409E249-EE85-4A19-B376-CE17473EE2B2}" srcOrd="0" destOrd="0" presId="urn:microsoft.com/office/officeart/2005/8/layout/vList5"/>
    <dgm:cxn modelId="{E6C4DE17-0027-4831-AB87-93EE60EBA479}" type="presOf" srcId="{305FBDA7-7A43-4470-80EE-8145927C46F8}" destId="{CA3EB1B2-3922-4159-83E8-7FBF4AB5D328}" srcOrd="0" destOrd="0" presId="urn:microsoft.com/office/officeart/2005/8/layout/vList5"/>
    <dgm:cxn modelId="{08B11908-1D2B-4E5C-8C5B-4F547CFECE6A}" srcId="{BC01A950-604A-4F52-8B9E-292B1D67A43E}" destId="{D8BD730A-E1F9-4A35-923A-4D73C5236074}" srcOrd="0" destOrd="0" parTransId="{DF787279-807D-4B6D-94DF-B6BB1F324A65}" sibTransId="{E9C77727-1D71-403E-9722-E8BBB052FE54}"/>
    <dgm:cxn modelId="{7DD128A3-4ABC-4A2D-9D66-FD21C30CDF48}" type="presOf" srcId="{F9A3EB8D-B045-465A-B6BF-68E75D3150A6}" destId="{A8852B88-D332-42E6-9E46-0494DD625061}" srcOrd="0" destOrd="0" presId="urn:microsoft.com/office/officeart/2005/8/layout/vList5"/>
    <dgm:cxn modelId="{EE9D6D87-2BAC-4972-8202-D516717814FD}" srcId="{91E50276-36A6-4957-97C6-C8CEDEE3D8DB}" destId="{0FDD8CF8-CE2F-4936-ABEA-EAEB15C3BCBA}" srcOrd="0" destOrd="0" parTransId="{29433FAC-D0A6-446B-BA32-A81956644648}" sibTransId="{6242DAAA-96BB-4EC4-8433-674036D9252E}"/>
    <dgm:cxn modelId="{6745CBB1-0DA8-4382-8626-69C2A013D46B}" srcId="{8D687F25-AADB-4EAF-97E3-6B4443B7B393}" destId="{A9204A5E-FA63-4151-AF49-E809933472CB}" srcOrd="0" destOrd="0" parTransId="{0512D78C-794B-401A-A02A-A9E19DF0A8A6}" sibTransId="{9E294361-D515-43C1-8F83-C903634DCB9D}"/>
    <dgm:cxn modelId="{80291BE0-E3EC-4A9B-9056-E94B3F901A64}" type="presOf" srcId="{61A43FF5-7705-47A5-9EF8-4A772506A550}" destId="{C47F06BC-6EBD-4494-B37C-94439B064E1C}" srcOrd="0" destOrd="0" presId="urn:microsoft.com/office/officeart/2005/8/layout/vList5"/>
    <dgm:cxn modelId="{F7C4D196-2925-4B10-9D41-DEFFF2E0478D}" type="presOf" srcId="{BC01A950-604A-4F52-8B9E-292B1D67A43E}" destId="{66219A67-486D-4F87-873F-0CA994751897}" srcOrd="0" destOrd="0" presId="urn:microsoft.com/office/officeart/2005/8/layout/vList5"/>
    <dgm:cxn modelId="{A2E14DDF-9DB9-4DDE-897E-201B59887F7C}" srcId="{8D687F25-AADB-4EAF-97E3-6B4443B7B393}" destId="{1823327E-3FBF-46C0-9882-6CE37765F908}" srcOrd="1" destOrd="0" parTransId="{DC844D74-9D94-40B1-BD0E-F9B00258FE5B}" sibTransId="{525C3B03-08C5-425F-975F-A47077842774}"/>
    <dgm:cxn modelId="{2C9E389D-176D-483A-8A30-7FA77EF9A66A}" srcId="{8D687F25-AADB-4EAF-97E3-6B4443B7B393}" destId="{D27F816D-6864-47C1-A0FD-A893B63EAACD}" srcOrd="2" destOrd="0" parTransId="{7F2AADDE-059F-48E6-9095-78DED66E6B82}" sibTransId="{536AFB44-A6A8-48AE-B534-278B050D8159}"/>
    <dgm:cxn modelId="{73713F2D-A167-4870-BFC5-1C3C17B25D96}" type="presOf" srcId="{E6FF73D0-6931-43CB-8ECC-AFCF3AF621A7}" destId="{2670D935-2D82-4079-99A1-F42B1B899D4E}" srcOrd="0" destOrd="0" presId="urn:microsoft.com/office/officeart/2005/8/layout/vList5"/>
    <dgm:cxn modelId="{1D989575-27EF-42B3-9E33-7D84C8E1C39D}" srcId="{8D687F25-AADB-4EAF-97E3-6B4443B7B393}" destId="{E7E20F56-A7A7-4ED7-8CE8-D9572472F5B8}" srcOrd="4" destOrd="0" parTransId="{53309EE7-97B2-4B0C-A76C-2058B6312699}" sibTransId="{0D2FAB26-3E59-4AD4-B249-C7960B34EF24}"/>
    <dgm:cxn modelId="{2CF35C08-36BD-40D4-87F8-9E318751A5E4}" srcId="{E6FF73D0-6931-43CB-8ECC-AFCF3AF621A7}" destId="{B7257617-D524-4F26-BA1B-9A9D24FE0C27}" srcOrd="0" destOrd="0" parTransId="{D041358C-7D60-459B-BE9E-6C7C742E96D9}" sibTransId="{51807892-AE03-4AC5-950F-F5A682C96B56}"/>
    <dgm:cxn modelId="{8730017B-B263-44B1-93CC-0573BC6500B2}" type="presOf" srcId="{A9204A5E-FA63-4151-AF49-E809933472CB}" destId="{13DDC579-8710-4F58-A744-578A57840194}" srcOrd="0" destOrd="0" presId="urn:microsoft.com/office/officeart/2005/8/layout/vList5"/>
    <dgm:cxn modelId="{94B1F08C-8058-4EB5-A92F-B09817AC28E0}" srcId="{8D687F25-AADB-4EAF-97E3-6B4443B7B393}" destId="{E6FF73D0-6931-43CB-8ECC-AFCF3AF621A7}" srcOrd="7" destOrd="0" parTransId="{501BA5C6-A825-4601-B7F3-CF95E9144DB2}" sibTransId="{6CF9B8DF-362F-4FCD-9691-BAD365487656}"/>
    <dgm:cxn modelId="{87D3FA82-CD43-4A16-B7F3-B547459DC4EC}" srcId="{055D7400-595C-409D-A828-831A7908549C}" destId="{61A43FF5-7705-47A5-9EF8-4A772506A550}" srcOrd="0" destOrd="0" parTransId="{78AB6ABF-64B8-4B70-9E02-70D83663D950}" sibTransId="{9E628438-063D-42C4-98DD-205F540E9F42}"/>
    <dgm:cxn modelId="{96700A30-DC14-47B7-BBFE-B4A6CB3FAD55}" type="presOf" srcId="{D8BD730A-E1F9-4A35-923A-4D73C5236074}" destId="{AEEFBBCB-8E62-43EC-8185-FCA595FE47A5}" srcOrd="0" destOrd="0" presId="urn:microsoft.com/office/officeart/2005/8/layout/vList5"/>
    <dgm:cxn modelId="{6CD1A192-8294-483E-91CF-F3BE3536A33F}" srcId="{D27F816D-6864-47C1-A0FD-A893B63EAACD}" destId="{9E93A946-5E86-40AD-81DA-252DD1423FEE}" srcOrd="0" destOrd="0" parTransId="{4241B1BA-4462-4439-8B17-9DC0FE30B1D4}" sibTransId="{ED992CD8-713D-47FD-81D0-933AFBFF755F}"/>
    <dgm:cxn modelId="{E0FC8E20-D418-4678-B2B2-5E4ED4B0E745}" type="presOf" srcId="{0FDD8CF8-CE2F-4936-ABEA-EAEB15C3BCBA}" destId="{2CED8DE4-5B49-4B48-988F-0C3960353F88}" srcOrd="0" destOrd="0" presId="urn:microsoft.com/office/officeart/2005/8/layout/vList5"/>
    <dgm:cxn modelId="{6EA5CE25-219B-40EC-B83E-B29621E5212C}" srcId="{A9204A5E-FA63-4151-AF49-E809933472CB}" destId="{D7E8A6AB-DA62-4F2C-840A-472056FDAB07}" srcOrd="0" destOrd="0" parTransId="{CBE273EE-FFFC-4C8F-BB87-0C5EAC5465A6}" sibTransId="{E1FA6C4E-2FBA-4C62-A0C3-C9B12985A1B2}"/>
    <dgm:cxn modelId="{0F351ED1-A0C3-4D10-B381-9D002E015D3A}" srcId="{8D687F25-AADB-4EAF-97E3-6B4443B7B393}" destId="{91E50276-36A6-4957-97C6-C8CEDEE3D8DB}" srcOrd="8" destOrd="0" parTransId="{8544DE64-D1A2-4E0D-BED6-CBCFD5B033A2}" sibTransId="{1A7A0BE8-5539-4DAB-AB55-F9113A251316}"/>
    <dgm:cxn modelId="{FE69127A-D9D2-4010-98EB-5DC11E77EC9D}" type="presOf" srcId="{9CBAAE85-725D-4713-A35E-E1887C84171D}" destId="{9D15992F-B3EE-4447-A8DA-10EDEF8BD9E8}" srcOrd="0" destOrd="0" presId="urn:microsoft.com/office/officeart/2005/8/layout/vList5"/>
    <dgm:cxn modelId="{39C22CB5-C69C-42C3-87DB-F3B8982A4A00}" type="presOf" srcId="{E7E20F56-A7A7-4ED7-8CE8-D9572472F5B8}" destId="{5E7F8AE3-7170-418E-A90A-D56F1B144873}" srcOrd="0" destOrd="0" presId="urn:microsoft.com/office/officeart/2005/8/layout/vList5"/>
    <dgm:cxn modelId="{A0389017-B41D-45CF-8FB9-5A99E6B505F4}" type="presOf" srcId="{D27F816D-6864-47C1-A0FD-A893B63EAACD}" destId="{C6E072CC-B27E-4A45-8E6A-691FF037B714}" srcOrd="0" destOrd="0" presId="urn:microsoft.com/office/officeart/2005/8/layout/vList5"/>
    <dgm:cxn modelId="{13416CD5-4079-4495-A237-E7BFA6C744B0}" type="presOf" srcId="{D7E8A6AB-DA62-4F2C-840A-472056FDAB07}" destId="{052EA0B4-0058-4A59-8DEB-BBF00ACFC657}" srcOrd="0" destOrd="0" presId="urn:microsoft.com/office/officeart/2005/8/layout/vList5"/>
    <dgm:cxn modelId="{CC3611D5-3863-42A0-B0BE-F5111B3C0A77}" srcId="{8D687F25-AADB-4EAF-97E3-6B4443B7B393}" destId="{BC01A950-604A-4F52-8B9E-292B1D67A43E}" srcOrd="3" destOrd="0" parTransId="{3946EA17-6CBF-4068-9F1B-1DDD4008E3CE}" sibTransId="{F18C0571-9314-47DC-9FC1-7056F3AD8102}"/>
    <dgm:cxn modelId="{54B52E87-31BA-43E9-ADAD-C6AA07CD16FE}" type="presOf" srcId="{1823327E-3FBF-46C0-9882-6CE37765F908}" destId="{A8A51778-10AD-42AB-A6E1-49F655DBAFE9}" srcOrd="0" destOrd="0" presId="urn:microsoft.com/office/officeart/2005/8/layout/vList5"/>
    <dgm:cxn modelId="{98A78997-36C7-4F71-A7C8-CC79490B09F8}" type="presOf" srcId="{9E93A946-5E86-40AD-81DA-252DD1423FEE}" destId="{90AC2220-3B22-4B2B-93F0-3AA5DBF8501E}" srcOrd="0" destOrd="0" presId="urn:microsoft.com/office/officeart/2005/8/layout/vList5"/>
    <dgm:cxn modelId="{CDB342B5-BC1D-409D-B315-67BFB4F7A0AF}" srcId="{E7E20F56-A7A7-4ED7-8CE8-D9572472F5B8}" destId="{51218458-BC47-47BE-9CF0-4A85D52B90E3}" srcOrd="0" destOrd="0" parTransId="{07F40D0B-349F-4C8E-BD4E-487440C59624}" sibTransId="{FACB2F1B-5714-47A0-98EB-8480EBD14B3B}"/>
    <dgm:cxn modelId="{EE5B012C-7F0A-4014-93EB-953C985B4F2C}" srcId="{9CBAAE85-725D-4713-A35E-E1887C84171D}" destId="{305FBDA7-7A43-4470-80EE-8145927C46F8}" srcOrd="0" destOrd="0" parTransId="{95F4C679-743C-4BA3-B838-EA1EAD8489F5}" sibTransId="{37329A97-7370-45EC-8454-729E5B622F6C}"/>
    <dgm:cxn modelId="{0223DF3E-56B9-4741-9FFB-3302BC8777CC}" type="presOf" srcId="{B7257617-D524-4F26-BA1B-9A9D24FE0C27}" destId="{323A4A1A-314A-461F-B18B-47355268079A}" srcOrd="0" destOrd="0" presId="urn:microsoft.com/office/officeart/2005/8/layout/vList5"/>
    <dgm:cxn modelId="{785A02DF-D423-48F0-83A0-6C31E5C37D3D}" srcId="{8D687F25-AADB-4EAF-97E3-6B4443B7B393}" destId="{9CBAAE85-725D-4713-A35E-E1887C84171D}" srcOrd="5" destOrd="0" parTransId="{570202FD-9614-4D17-8A0B-AEDD7A1BF398}" sibTransId="{16E91BD0-FB9A-4684-BD32-C7EBF47B4BAB}"/>
    <dgm:cxn modelId="{04357403-0763-4D7C-B5A5-A7D08B224DCE}" srcId="{1823327E-3FBF-46C0-9882-6CE37765F908}" destId="{F9A3EB8D-B045-465A-B6BF-68E75D3150A6}" srcOrd="0" destOrd="0" parTransId="{C7F7B7EA-3E2D-48F5-BE02-6C2AD7E17012}" sibTransId="{3D26557D-3DFB-422D-9C47-A85E60D1D936}"/>
    <dgm:cxn modelId="{6F41508F-0818-4753-9E65-8876E5183E99}" type="presOf" srcId="{055D7400-595C-409D-A828-831A7908549C}" destId="{40202EE5-FA5D-4C04-896C-219C8B6DA63B}" srcOrd="0" destOrd="0" presId="urn:microsoft.com/office/officeart/2005/8/layout/vList5"/>
    <dgm:cxn modelId="{47D506CE-E1D0-4E06-88CF-5067E8AE61A4}" type="presOf" srcId="{8D687F25-AADB-4EAF-97E3-6B4443B7B393}" destId="{60AB2D3A-FB48-4ED2-A933-033CF40D6A9D}" srcOrd="0" destOrd="0" presId="urn:microsoft.com/office/officeart/2005/8/layout/vList5"/>
    <dgm:cxn modelId="{13625585-82F5-4355-A955-2F8F3EEFC876}" type="presParOf" srcId="{60AB2D3A-FB48-4ED2-A933-033CF40D6A9D}" destId="{AF134D58-EB9E-4843-A717-E348BD4B23E6}" srcOrd="0" destOrd="0" presId="urn:microsoft.com/office/officeart/2005/8/layout/vList5"/>
    <dgm:cxn modelId="{E1FEF522-0024-4AF2-907B-65344FDEB209}" type="presParOf" srcId="{AF134D58-EB9E-4843-A717-E348BD4B23E6}" destId="{13DDC579-8710-4F58-A744-578A57840194}" srcOrd="0" destOrd="0" presId="urn:microsoft.com/office/officeart/2005/8/layout/vList5"/>
    <dgm:cxn modelId="{F55B0065-75C0-48C9-A3CC-C136E8C708FA}" type="presParOf" srcId="{AF134D58-EB9E-4843-A717-E348BD4B23E6}" destId="{052EA0B4-0058-4A59-8DEB-BBF00ACFC657}" srcOrd="1" destOrd="0" presId="urn:microsoft.com/office/officeart/2005/8/layout/vList5"/>
    <dgm:cxn modelId="{030347BA-C43A-487A-829B-261AFB5142DF}" type="presParOf" srcId="{60AB2D3A-FB48-4ED2-A933-033CF40D6A9D}" destId="{D3C913D8-D9E2-49E0-AA1C-581DD090F66E}" srcOrd="1" destOrd="0" presId="urn:microsoft.com/office/officeart/2005/8/layout/vList5"/>
    <dgm:cxn modelId="{82B05DCE-0690-42E5-8D34-43313FFB0C49}" type="presParOf" srcId="{60AB2D3A-FB48-4ED2-A933-033CF40D6A9D}" destId="{401E81B7-F24C-402E-91B8-F89FF6B8A654}" srcOrd="2" destOrd="0" presId="urn:microsoft.com/office/officeart/2005/8/layout/vList5"/>
    <dgm:cxn modelId="{0F9655ED-A8FD-4F51-A613-F4DF9D7E1EB4}" type="presParOf" srcId="{401E81B7-F24C-402E-91B8-F89FF6B8A654}" destId="{A8A51778-10AD-42AB-A6E1-49F655DBAFE9}" srcOrd="0" destOrd="0" presId="urn:microsoft.com/office/officeart/2005/8/layout/vList5"/>
    <dgm:cxn modelId="{418226E1-18E3-4C82-ACD4-9E0CC1AB2840}" type="presParOf" srcId="{401E81B7-F24C-402E-91B8-F89FF6B8A654}" destId="{A8852B88-D332-42E6-9E46-0494DD625061}" srcOrd="1" destOrd="0" presId="urn:microsoft.com/office/officeart/2005/8/layout/vList5"/>
    <dgm:cxn modelId="{DBE484D6-2398-4772-B782-1EC624005562}" type="presParOf" srcId="{60AB2D3A-FB48-4ED2-A933-033CF40D6A9D}" destId="{B1370983-8CF4-45AA-9D46-8B6AF629C332}" srcOrd="3" destOrd="0" presId="urn:microsoft.com/office/officeart/2005/8/layout/vList5"/>
    <dgm:cxn modelId="{23835B67-C55B-421D-9CEB-C43A2F993AB1}" type="presParOf" srcId="{60AB2D3A-FB48-4ED2-A933-033CF40D6A9D}" destId="{AE046104-6379-4F30-90A5-977396B199B0}" srcOrd="4" destOrd="0" presId="urn:microsoft.com/office/officeart/2005/8/layout/vList5"/>
    <dgm:cxn modelId="{DD133EC2-2116-451B-B650-D181E872A49F}" type="presParOf" srcId="{AE046104-6379-4F30-90A5-977396B199B0}" destId="{C6E072CC-B27E-4A45-8E6A-691FF037B714}" srcOrd="0" destOrd="0" presId="urn:microsoft.com/office/officeart/2005/8/layout/vList5"/>
    <dgm:cxn modelId="{6D8CDA13-AAEB-4265-911C-DF12C7B96206}" type="presParOf" srcId="{AE046104-6379-4F30-90A5-977396B199B0}" destId="{90AC2220-3B22-4B2B-93F0-3AA5DBF8501E}" srcOrd="1" destOrd="0" presId="urn:microsoft.com/office/officeart/2005/8/layout/vList5"/>
    <dgm:cxn modelId="{00FD3818-9EB7-4EAE-A406-4DB4F9DE5180}" type="presParOf" srcId="{60AB2D3A-FB48-4ED2-A933-033CF40D6A9D}" destId="{83E522AD-4018-47B2-9E19-983ACDC32C3D}" srcOrd="5" destOrd="0" presId="urn:microsoft.com/office/officeart/2005/8/layout/vList5"/>
    <dgm:cxn modelId="{CD89B71C-8C94-4610-9D34-AE446AB8343F}" type="presParOf" srcId="{60AB2D3A-FB48-4ED2-A933-033CF40D6A9D}" destId="{422FA66A-1355-472E-877A-E872611B2D37}" srcOrd="6" destOrd="0" presId="urn:microsoft.com/office/officeart/2005/8/layout/vList5"/>
    <dgm:cxn modelId="{C5F83ED8-50E9-4356-BCC3-AA8FC5FB25C1}" type="presParOf" srcId="{422FA66A-1355-472E-877A-E872611B2D37}" destId="{66219A67-486D-4F87-873F-0CA994751897}" srcOrd="0" destOrd="0" presId="urn:microsoft.com/office/officeart/2005/8/layout/vList5"/>
    <dgm:cxn modelId="{9E0C0A96-52F5-4018-9630-BAD9074A61D2}" type="presParOf" srcId="{422FA66A-1355-472E-877A-E872611B2D37}" destId="{AEEFBBCB-8E62-43EC-8185-FCA595FE47A5}" srcOrd="1" destOrd="0" presId="urn:microsoft.com/office/officeart/2005/8/layout/vList5"/>
    <dgm:cxn modelId="{A172E21F-627B-410D-B0A2-A0BA3198B3E4}" type="presParOf" srcId="{60AB2D3A-FB48-4ED2-A933-033CF40D6A9D}" destId="{BF0002EF-8B47-4AC4-BFAD-7D4201A2D1B0}" srcOrd="7" destOrd="0" presId="urn:microsoft.com/office/officeart/2005/8/layout/vList5"/>
    <dgm:cxn modelId="{A2E37B68-C7CD-4B30-B7DA-9A8B4020DD0A}" type="presParOf" srcId="{60AB2D3A-FB48-4ED2-A933-033CF40D6A9D}" destId="{AA5E7F48-F512-4142-9502-5447FAD69CF0}" srcOrd="8" destOrd="0" presId="urn:microsoft.com/office/officeart/2005/8/layout/vList5"/>
    <dgm:cxn modelId="{6EBEC951-5BFC-47DD-A33C-A4C9411956CD}" type="presParOf" srcId="{AA5E7F48-F512-4142-9502-5447FAD69CF0}" destId="{5E7F8AE3-7170-418E-A90A-D56F1B144873}" srcOrd="0" destOrd="0" presId="urn:microsoft.com/office/officeart/2005/8/layout/vList5"/>
    <dgm:cxn modelId="{2B97C02E-9E4D-42D7-AE37-78B47E67B0CC}" type="presParOf" srcId="{AA5E7F48-F512-4142-9502-5447FAD69CF0}" destId="{1409E249-EE85-4A19-B376-CE17473EE2B2}" srcOrd="1" destOrd="0" presId="urn:microsoft.com/office/officeart/2005/8/layout/vList5"/>
    <dgm:cxn modelId="{4D8F4891-090A-4A5F-93E8-38F7F021D6A1}" type="presParOf" srcId="{60AB2D3A-FB48-4ED2-A933-033CF40D6A9D}" destId="{3109AA80-50D7-4DF5-997F-711AED41519C}" srcOrd="9" destOrd="0" presId="urn:microsoft.com/office/officeart/2005/8/layout/vList5"/>
    <dgm:cxn modelId="{60C94666-ACF9-42EA-8442-E5057D6A70E2}" type="presParOf" srcId="{60AB2D3A-FB48-4ED2-A933-033CF40D6A9D}" destId="{1315B1E4-CA96-4682-AD4B-915B6F770371}" srcOrd="10" destOrd="0" presId="urn:microsoft.com/office/officeart/2005/8/layout/vList5"/>
    <dgm:cxn modelId="{8A817265-F214-41B2-B56C-CB2D9B6D19AD}" type="presParOf" srcId="{1315B1E4-CA96-4682-AD4B-915B6F770371}" destId="{9D15992F-B3EE-4447-A8DA-10EDEF8BD9E8}" srcOrd="0" destOrd="0" presId="urn:microsoft.com/office/officeart/2005/8/layout/vList5"/>
    <dgm:cxn modelId="{5C5BFC56-6DB2-4F4E-B17B-D959F4A67E3A}" type="presParOf" srcId="{1315B1E4-CA96-4682-AD4B-915B6F770371}" destId="{CA3EB1B2-3922-4159-83E8-7FBF4AB5D328}" srcOrd="1" destOrd="0" presId="urn:microsoft.com/office/officeart/2005/8/layout/vList5"/>
    <dgm:cxn modelId="{7347CF3C-E975-43B3-8668-C7996D9E6B6E}" type="presParOf" srcId="{60AB2D3A-FB48-4ED2-A933-033CF40D6A9D}" destId="{B0A542CC-7610-49A1-A340-6A4CCB0A46A2}" srcOrd="11" destOrd="0" presId="urn:microsoft.com/office/officeart/2005/8/layout/vList5"/>
    <dgm:cxn modelId="{425DAFDE-89C7-4FC8-BB20-C311F443A3D1}" type="presParOf" srcId="{60AB2D3A-FB48-4ED2-A933-033CF40D6A9D}" destId="{2DFE877B-33C9-4165-9FB7-763C6453AD34}" srcOrd="12" destOrd="0" presId="urn:microsoft.com/office/officeart/2005/8/layout/vList5"/>
    <dgm:cxn modelId="{3413764B-6BE7-49CE-A139-EE0BADFA974C}" type="presParOf" srcId="{2DFE877B-33C9-4165-9FB7-763C6453AD34}" destId="{40202EE5-FA5D-4C04-896C-219C8B6DA63B}" srcOrd="0" destOrd="0" presId="urn:microsoft.com/office/officeart/2005/8/layout/vList5"/>
    <dgm:cxn modelId="{BC65E859-62F3-4819-9E15-64D4557CB9ED}" type="presParOf" srcId="{2DFE877B-33C9-4165-9FB7-763C6453AD34}" destId="{C47F06BC-6EBD-4494-B37C-94439B064E1C}" srcOrd="1" destOrd="0" presId="urn:microsoft.com/office/officeart/2005/8/layout/vList5"/>
    <dgm:cxn modelId="{81CFC2AD-0692-468E-A80A-CC00137D640B}" type="presParOf" srcId="{60AB2D3A-FB48-4ED2-A933-033CF40D6A9D}" destId="{1A98BC3D-5E49-4EC5-B05D-CB77CBFAE5EF}" srcOrd="13" destOrd="0" presId="urn:microsoft.com/office/officeart/2005/8/layout/vList5"/>
    <dgm:cxn modelId="{B52940FE-3C18-4CC4-8842-25717F5D2DAC}" type="presParOf" srcId="{60AB2D3A-FB48-4ED2-A933-033CF40D6A9D}" destId="{7DFA45A0-F56B-4774-8381-D795932EAA56}" srcOrd="14" destOrd="0" presId="urn:microsoft.com/office/officeart/2005/8/layout/vList5"/>
    <dgm:cxn modelId="{6BF8846D-65D6-41E5-8906-60B81A3F61E0}" type="presParOf" srcId="{7DFA45A0-F56B-4774-8381-D795932EAA56}" destId="{2670D935-2D82-4079-99A1-F42B1B899D4E}" srcOrd="0" destOrd="0" presId="urn:microsoft.com/office/officeart/2005/8/layout/vList5"/>
    <dgm:cxn modelId="{B863A63F-8B25-42EF-87A7-88A1C31777E8}" type="presParOf" srcId="{7DFA45A0-F56B-4774-8381-D795932EAA56}" destId="{323A4A1A-314A-461F-B18B-47355268079A}" srcOrd="1" destOrd="0" presId="urn:microsoft.com/office/officeart/2005/8/layout/vList5"/>
    <dgm:cxn modelId="{0D8546B3-D58C-4A64-BB11-FD0B20BB89A7}" type="presParOf" srcId="{60AB2D3A-FB48-4ED2-A933-033CF40D6A9D}" destId="{DF7A2A7F-4953-4FBE-8342-F49C3E39BD49}" srcOrd="15" destOrd="0" presId="urn:microsoft.com/office/officeart/2005/8/layout/vList5"/>
    <dgm:cxn modelId="{8964DED7-76C1-4ADB-BEFC-D5E5076A1971}" type="presParOf" srcId="{60AB2D3A-FB48-4ED2-A933-033CF40D6A9D}" destId="{6535813B-D7EE-4D0F-8395-5F368A53C439}" srcOrd="16" destOrd="0" presId="urn:microsoft.com/office/officeart/2005/8/layout/vList5"/>
    <dgm:cxn modelId="{A8B7B78A-8174-4CC0-A8BC-9E60062565DD}" type="presParOf" srcId="{6535813B-D7EE-4D0F-8395-5F368A53C439}" destId="{25B59617-6B29-4359-A7F7-8041AD957266}" srcOrd="0" destOrd="0" presId="urn:microsoft.com/office/officeart/2005/8/layout/vList5"/>
    <dgm:cxn modelId="{257EEBFF-6347-4F36-98B2-7FEFD50A250C}" type="presParOf" srcId="{6535813B-D7EE-4D0F-8395-5F368A53C439}" destId="{2CED8DE4-5B49-4B48-988F-0C3960353F88}"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2EA0B4-0058-4A59-8DEB-BBF00ACFC657}">
      <dsp:nvSpPr>
        <dsp:cNvPr id="0" name=""/>
        <dsp:cNvSpPr/>
      </dsp:nvSpPr>
      <dsp:spPr>
        <a:xfrm rot="5400000">
          <a:off x="3737918" y="-1622105"/>
          <a:ext cx="348378" cy="3681984"/>
        </a:xfrm>
        <a:prstGeom prst="round2Same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t> Threshold Learning Outcomes, Course Learning Outcomes and Qualification level curriculum mapping</a:t>
          </a:r>
        </a:p>
      </dsp:txBody>
      <dsp:txXfrm rot="-5400000">
        <a:off x="2071115" y="61704"/>
        <a:ext cx="3664978" cy="314366"/>
      </dsp:txXfrm>
    </dsp:sp>
    <dsp:sp modelId="{13DDC579-8710-4F58-A744-578A57840194}">
      <dsp:nvSpPr>
        <dsp:cNvPr id="0" name=""/>
        <dsp:cNvSpPr/>
      </dsp:nvSpPr>
      <dsp:spPr>
        <a:xfrm>
          <a:off x="0" y="1149"/>
          <a:ext cx="2071116" cy="43547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AU" sz="1100" kern="1200"/>
            <a:t>Existing enablers </a:t>
          </a:r>
        </a:p>
      </dsp:txBody>
      <dsp:txXfrm>
        <a:off x="21258" y="22407"/>
        <a:ext cx="2028600" cy="392957"/>
      </dsp:txXfrm>
    </dsp:sp>
    <dsp:sp modelId="{A8852B88-D332-42E6-9E46-0494DD625061}">
      <dsp:nvSpPr>
        <dsp:cNvPr id="0" name=""/>
        <dsp:cNvSpPr/>
      </dsp:nvSpPr>
      <dsp:spPr>
        <a:xfrm rot="5400000">
          <a:off x="3737918" y="-1164858"/>
          <a:ext cx="348378" cy="3681984"/>
        </a:xfrm>
        <a:prstGeom prst="round2Same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t> Collective revision of curriculum by teaching teams</a:t>
          </a:r>
        </a:p>
      </dsp:txBody>
      <dsp:txXfrm rot="-5400000">
        <a:off x="2071115" y="518951"/>
        <a:ext cx="3664978" cy="314366"/>
      </dsp:txXfrm>
    </dsp:sp>
    <dsp:sp modelId="{A8A51778-10AD-42AB-A6E1-49F655DBAFE9}">
      <dsp:nvSpPr>
        <dsp:cNvPr id="0" name=""/>
        <dsp:cNvSpPr/>
      </dsp:nvSpPr>
      <dsp:spPr>
        <a:xfrm>
          <a:off x="0" y="458397"/>
          <a:ext cx="2071116" cy="43547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AU" sz="1100" kern="1200"/>
            <a:t>Next Frontier </a:t>
          </a:r>
        </a:p>
      </dsp:txBody>
      <dsp:txXfrm>
        <a:off x="21258" y="479655"/>
        <a:ext cx="2028600" cy="392957"/>
      </dsp:txXfrm>
    </dsp:sp>
    <dsp:sp modelId="{90AC2220-3B22-4B2B-93F0-3AA5DBF8501E}">
      <dsp:nvSpPr>
        <dsp:cNvPr id="0" name=""/>
        <dsp:cNvSpPr/>
      </dsp:nvSpPr>
      <dsp:spPr>
        <a:xfrm rot="5400000">
          <a:off x="3737918" y="-707611"/>
          <a:ext cx="348378" cy="3681984"/>
        </a:xfrm>
        <a:prstGeom prst="round2Same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t> Individual, siloed, autonomous approach</a:t>
          </a:r>
        </a:p>
      </dsp:txBody>
      <dsp:txXfrm rot="-5400000">
        <a:off x="2071115" y="976198"/>
        <a:ext cx="3664978" cy="314366"/>
      </dsp:txXfrm>
    </dsp:sp>
    <dsp:sp modelId="{C6E072CC-B27E-4A45-8E6A-691FF037B714}">
      <dsp:nvSpPr>
        <dsp:cNvPr id="0" name=""/>
        <dsp:cNvSpPr/>
      </dsp:nvSpPr>
      <dsp:spPr>
        <a:xfrm>
          <a:off x="0" y="915644"/>
          <a:ext cx="2071116" cy="43547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AU" sz="1100" kern="1200"/>
            <a:t>Current Context </a:t>
          </a:r>
        </a:p>
      </dsp:txBody>
      <dsp:txXfrm>
        <a:off x="21258" y="936902"/>
        <a:ext cx="2028600" cy="392957"/>
      </dsp:txXfrm>
    </dsp:sp>
    <dsp:sp modelId="{AEEFBBCB-8E62-43EC-8185-FCA595FE47A5}">
      <dsp:nvSpPr>
        <dsp:cNvPr id="0" name=""/>
        <dsp:cNvSpPr/>
      </dsp:nvSpPr>
      <dsp:spPr>
        <a:xfrm rot="5400000">
          <a:off x="3737918" y="-250364"/>
          <a:ext cx="348378" cy="3681984"/>
        </a:xfrm>
        <a:prstGeom prst="round2Same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t> Retrospective by nature, can inform re-design but are not design tools or processes</a:t>
          </a:r>
        </a:p>
      </dsp:txBody>
      <dsp:txXfrm rot="-5400000">
        <a:off x="2071115" y="1433445"/>
        <a:ext cx="3664978" cy="314366"/>
      </dsp:txXfrm>
    </dsp:sp>
    <dsp:sp modelId="{66219A67-486D-4F87-873F-0CA994751897}">
      <dsp:nvSpPr>
        <dsp:cNvPr id="0" name=""/>
        <dsp:cNvSpPr/>
      </dsp:nvSpPr>
      <dsp:spPr>
        <a:xfrm>
          <a:off x="0" y="1372891"/>
          <a:ext cx="2071116" cy="43547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AU" sz="1100" kern="1200"/>
            <a:t>Available Tools </a:t>
          </a:r>
        </a:p>
      </dsp:txBody>
      <dsp:txXfrm>
        <a:off x="21258" y="1394149"/>
        <a:ext cx="2028600" cy="392957"/>
      </dsp:txXfrm>
    </dsp:sp>
    <dsp:sp modelId="{1409E249-EE85-4A19-B376-CE17473EE2B2}">
      <dsp:nvSpPr>
        <dsp:cNvPr id="0" name=""/>
        <dsp:cNvSpPr/>
      </dsp:nvSpPr>
      <dsp:spPr>
        <a:xfrm rot="5400000">
          <a:off x="3737918" y="206882"/>
          <a:ext cx="348378" cy="3681984"/>
        </a:xfrm>
        <a:prstGeom prst="round2Same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t> Learning design is often not visible and the processes used are not replicable </a:t>
          </a:r>
        </a:p>
      </dsp:txBody>
      <dsp:txXfrm rot="-5400000">
        <a:off x="2071115" y="1890691"/>
        <a:ext cx="3664978" cy="314366"/>
      </dsp:txXfrm>
    </dsp:sp>
    <dsp:sp modelId="{5E7F8AE3-7170-418E-A90A-D56F1B144873}">
      <dsp:nvSpPr>
        <dsp:cNvPr id="0" name=""/>
        <dsp:cNvSpPr/>
      </dsp:nvSpPr>
      <dsp:spPr>
        <a:xfrm>
          <a:off x="0" y="1830138"/>
          <a:ext cx="2071116" cy="43547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AU" sz="1100" kern="1200"/>
            <a:t>Gap</a:t>
          </a:r>
        </a:p>
      </dsp:txBody>
      <dsp:txXfrm>
        <a:off x="21258" y="1851396"/>
        <a:ext cx="2028600" cy="392957"/>
      </dsp:txXfrm>
    </dsp:sp>
    <dsp:sp modelId="{CA3EB1B2-3922-4159-83E8-7FBF4AB5D328}">
      <dsp:nvSpPr>
        <dsp:cNvPr id="0" name=""/>
        <dsp:cNvSpPr/>
      </dsp:nvSpPr>
      <dsp:spPr>
        <a:xfrm rot="5400000">
          <a:off x="3737918" y="664130"/>
          <a:ext cx="348378" cy="3681984"/>
        </a:xfrm>
        <a:prstGeom prst="round2Same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t> Current focus is on providing academics with pedagogical guidance</a:t>
          </a:r>
        </a:p>
      </dsp:txBody>
      <dsp:txXfrm rot="-5400000">
        <a:off x="2071115" y="2347939"/>
        <a:ext cx="3664978" cy="314366"/>
      </dsp:txXfrm>
    </dsp:sp>
    <dsp:sp modelId="{9D15992F-B3EE-4447-A8DA-10EDEF8BD9E8}">
      <dsp:nvSpPr>
        <dsp:cNvPr id="0" name=""/>
        <dsp:cNvSpPr/>
      </dsp:nvSpPr>
      <dsp:spPr>
        <a:xfrm>
          <a:off x="0" y="2287385"/>
          <a:ext cx="2071116" cy="43547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AU" sz="1100" kern="1200"/>
            <a:t>Mainstream Learning Design </a:t>
          </a:r>
        </a:p>
      </dsp:txBody>
      <dsp:txXfrm>
        <a:off x="21258" y="2308643"/>
        <a:ext cx="2028600" cy="392957"/>
      </dsp:txXfrm>
    </dsp:sp>
    <dsp:sp modelId="{C47F06BC-6EBD-4494-B37C-94439B064E1C}">
      <dsp:nvSpPr>
        <dsp:cNvPr id="0" name=""/>
        <dsp:cNvSpPr/>
      </dsp:nvSpPr>
      <dsp:spPr>
        <a:xfrm rot="5400000">
          <a:off x="3737918" y="1121377"/>
          <a:ext cx="348378" cy="3681984"/>
        </a:xfrm>
        <a:prstGeom prst="round2Same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t> Low tech, immediate means for academics to simultaneously design and review unit level curriculum</a:t>
          </a:r>
        </a:p>
      </dsp:txBody>
      <dsp:txXfrm rot="-5400000">
        <a:off x="2071115" y="2805186"/>
        <a:ext cx="3664978" cy="314366"/>
      </dsp:txXfrm>
    </dsp:sp>
    <dsp:sp modelId="{40202EE5-FA5D-4C04-896C-219C8B6DA63B}">
      <dsp:nvSpPr>
        <dsp:cNvPr id="0" name=""/>
        <dsp:cNvSpPr/>
      </dsp:nvSpPr>
      <dsp:spPr>
        <a:xfrm>
          <a:off x="0" y="2744632"/>
          <a:ext cx="2071116" cy="43547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AU" sz="1100" kern="1200"/>
            <a:t>What is required </a:t>
          </a:r>
        </a:p>
      </dsp:txBody>
      <dsp:txXfrm>
        <a:off x="21258" y="2765890"/>
        <a:ext cx="2028600" cy="392957"/>
      </dsp:txXfrm>
    </dsp:sp>
    <dsp:sp modelId="{323A4A1A-314A-461F-B18B-47355268079A}">
      <dsp:nvSpPr>
        <dsp:cNvPr id="0" name=""/>
        <dsp:cNvSpPr/>
      </dsp:nvSpPr>
      <dsp:spPr>
        <a:xfrm rot="5400000">
          <a:off x="3737918" y="1578624"/>
          <a:ext cx="348378" cy="3681984"/>
        </a:xfrm>
        <a:prstGeom prst="round2Same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t> Enable academics to articulate their learning design based on principles of constructive alignment</a:t>
          </a:r>
        </a:p>
      </dsp:txBody>
      <dsp:txXfrm rot="-5400000">
        <a:off x="2071115" y="3262433"/>
        <a:ext cx="3664978" cy="314366"/>
      </dsp:txXfrm>
    </dsp:sp>
    <dsp:sp modelId="{2670D935-2D82-4079-99A1-F42B1B899D4E}">
      <dsp:nvSpPr>
        <dsp:cNvPr id="0" name=""/>
        <dsp:cNvSpPr/>
      </dsp:nvSpPr>
      <dsp:spPr>
        <a:xfrm>
          <a:off x="0" y="3201879"/>
          <a:ext cx="2071116" cy="43547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AU" sz="1100" kern="1200"/>
            <a:t>Replicable Learning Design Processes </a:t>
          </a:r>
        </a:p>
      </dsp:txBody>
      <dsp:txXfrm>
        <a:off x="21258" y="3223137"/>
        <a:ext cx="2028600" cy="392957"/>
      </dsp:txXfrm>
    </dsp:sp>
    <dsp:sp modelId="{2CED8DE4-5B49-4B48-988F-0C3960353F88}">
      <dsp:nvSpPr>
        <dsp:cNvPr id="0" name=""/>
        <dsp:cNvSpPr/>
      </dsp:nvSpPr>
      <dsp:spPr>
        <a:xfrm rot="5400000">
          <a:off x="3737918" y="2035871"/>
          <a:ext cx="348378" cy="3681984"/>
        </a:xfrm>
        <a:prstGeom prst="round2SameRect">
          <a:avLst/>
        </a:prstGeom>
        <a:solidFill>
          <a:schemeClr val="lt1"/>
        </a:solidFill>
        <a:ln w="12700" cap="flat" cmpd="sng" algn="ctr">
          <a:solidFill>
            <a:schemeClr val="bg1">
              <a:lumMod val="50000"/>
            </a:schemeClr>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AU" sz="900" kern="1200"/>
            <a:t> Provide UTAS academics with a suite of processes and tools which enable negotiated principles informed curriculum renewal</a:t>
          </a:r>
        </a:p>
      </dsp:txBody>
      <dsp:txXfrm rot="-5400000">
        <a:off x="2071115" y="3719680"/>
        <a:ext cx="3664978" cy="314366"/>
      </dsp:txXfrm>
    </dsp:sp>
    <dsp:sp modelId="{25B59617-6B29-4359-A7F7-8041AD957266}">
      <dsp:nvSpPr>
        <dsp:cNvPr id="0" name=""/>
        <dsp:cNvSpPr/>
      </dsp:nvSpPr>
      <dsp:spPr>
        <a:xfrm>
          <a:off x="0" y="3659126"/>
          <a:ext cx="2071116" cy="435473"/>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AU" sz="1100" kern="1200"/>
            <a:t>Objective</a:t>
          </a:r>
        </a:p>
      </dsp:txBody>
      <dsp:txXfrm>
        <a:off x="21258" y="3680384"/>
        <a:ext cx="2028600" cy="39295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6072</Words>
  <Characters>34615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Linquist</dc:creator>
  <cp:keywords/>
  <dc:description/>
  <cp:lastModifiedBy>Stephen Linquist</cp:lastModifiedBy>
  <cp:revision>3</cp:revision>
  <cp:lastPrinted>2016-08-17T12:13:00Z</cp:lastPrinted>
  <dcterms:created xsi:type="dcterms:W3CDTF">2016-08-17T22:53:00Z</dcterms:created>
  <dcterms:modified xsi:type="dcterms:W3CDTF">2016-08-17T22:53:00Z</dcterms:modified>
</cp:coreProperties>
</file>